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oferta kredytów mieszkaniowych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odświeżył swoją ofertę kredytów hipotecznych. Klienci sami mogą zdecydować, czy wolą kredyt bez prowizji, czy niższą marżę. Wstępne informacje o dostępnym kredycie wydawane są błyskawicznie, a za wcześniejszą spłatę kredytu nie trzeba dodatkowo płacić.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Odświeżając ofertę kredytu mieszkaniowego bacznie przyglądaliśmy się naszej konkurencji, ale też wsłuchiwaliśmy się w oczekiwania i opinie naszych klientów. W ten sposób skonstruowaliśmy prostą i elastyczną ofertę, która na pewno wyróżni się na rynku</w:t>
      </w:r>
      <w:r>
        <w:rPr>
          <w:rFonts w:ascii="calibri" w:hAnsi="calibri" w:eastAsia="calibri" w:cs="calibri"/>
          <w:sz w:val="24"/>
          <w:szCs w:val="24"/>
        </w:rPr>
        <w:t xml:space="preserve"> – przekonuje Grzegorz Górski, dyrektor Pionu Zarządzania Produktami i Segmentami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może sam wybrać, czy woli zaciągnąć kredyt bez prowizji ale z wyższą marżą lub kredyt z prowizją i obniżoną marżą. Może też zdecydować się na ofertę standardową (bez żadnych dodatkowych produktów) lub ofertę rozszerzoną, w której można wybrać kredyt połączony z otwarciem rachunku oszczędnościowo-rozliczeniowego, ubezpieczeniem na życie lub ubezpieczeniem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atrakcyjnej ceny i prostych zasad dotyczących marży, nowa oferta Credit Agricole ma i inne zalety: dochody współkredytobiorców mogą być łączone w ramach ich wspólnego konta, nie ma prowizji za wcześniejszą spłatę kredytu, klienci mogą również skorzystać z tzw. „wakacji kredytowych”, czyli przerwy w spłacie rat kredytu.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Minimalna kwota udzielanych kredytów to 40 000 zł, maksymalna zależy od zdolności kredytowej klienta i wartości nieruchomości. Minimalny wkład własny, jakiego bank oczekuje od klientów wynosi 10% kosztu zakupu nieruchomości. Kredyty udzielane są na maksymalnie 35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Obsługą klienta zajmują się doradcy w placówkach lub eksperci hipoteczni w Contact Center. Cały proces decyzyjny został uproszczony a formalności zredukowane do minimum. Po złożeniu formularza (w placówce lub na stronie www) klient otrzymuje informację o dostępności kredytu najpóźniej w ciągu 24 godzin.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2024-04-23T19:22:01+02:00</dcterms:created>
  <dcterms:modified xsi:type="dcterms:W3CDTF">2024-04-23T19:22:01+02:00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