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Credit Agricole wspiera szpital zakaźny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Credit Agricole w Polsce dołącza do akcji #graMydlaKOSZAROWEJ. Bank Credit Agicole, wspólnie ze spółkami EFL, CA Ubezpieczenia oraz Amundi Polska sfinansują zakup pomp infuzyjnych dla Wojewódzkiego Szpitala Specjalistycznego przy ul. Koszarowej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Wojewódzki Szpital Specjalistyczny przy ul. Koszarowej we Wrocławiu, który na czas walki z pandemią koronawirusa stał się szpitalem zakaźnym – jednoimiennym, jest wiodącym na Dolnym Śląsku ośrodkiem leczenia chorób zakaźnych. To do niego trafiają z całego regionu pacjenci zakażeni koronawirusem. Jak w wielu innych szpitalach, także i w tym brakuje specjalistycznego sprzętu oraz podstawowych środków ochrony dla personelu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uzupełnić te braki, spółki Grupy Credit Agricole postanowiły przyłączyć się do zbiórki #graMYdlaKOSZAROWEJ, zorganizowanej przez klub siatkarski KFC Gwardia Wrocław we współpracy z innymi wrocławskimi klubami sportowymi. Zbiórka prowadzona jest za zgodą dyrektora naczelnego szpitala przy ul. Koszarowej Janusza Jerzaka i pod patronatem prezydenta Wrocławia Jacka Sutryka.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grupą spółek wywodzących się z Wrocławia i dlatego uznaliśmy, że wsparcie lokalnego centrum walki z epidemią koronawirusa będzie najbardziej efektywne. Choroba w każdej chwili może dotknąć każdego z nas. A od jakości wyposażenia tej placówki w dużej mierze zależy skuteczność leczenia. Nasze wsparcie dla szpitala jest więc wyrazem wsparcia dla całej społeczności Wrocławia i Dolnego Śląska</w:t>
      </w:r>
      <w:r>
        <w:rPr>
          <w:rFonts w:ascii="calibri" w:hAnsi="calibri" w:eastAsia="calibri" w:cs="calibri"/>
          <w:sz w:val="24"/>
          <w:szCs w:val="24"/>
        </w:rPr>
        <w:t xml:space="preserve"> - mówi Jean-Bernard Mas, Senior Country Officer Grupy Credit Agricole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porozumieniu z dyrekcją szpitala, Grupa Credit Agricole sfinansuje zakup 42 pomp infuzyjnych - urządzeń stosowanych do ciągłego lub cyklicznego, dokładnego dawkowania leków. Pompy te będą wykorzystywane przede wszystkim na stanowiskach respiratorowych na oddziale intensywnej opieki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przekazania publicznej darowizny, bank i pozostałe spółki grupy, zachęcają swoich pracowników, a także wszystkich mieszkańców Wrocławia i Dolnego Śląska, do prywatnych datków na rzecz szpitala. Wpłat dokonywać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www.zrzutka.pl/gramydlakoszarowej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prowadzona jest do 11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Credit Agricole, EFL, CA Ubezpieczenia i Amundi Polska, darowizny dla szpitala w ramach akcji #graMYdlaKOSZAROWEJ przekazały również firmy: RAWLPLUG, Grupa Impel, TEAM, Kruk.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rzutka.pl/gramydlakoszarow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2024-05-04T15:05:52+02:00</dcterms:created>
  <dcterms:modified xsi:type="dcterms:W3CDTF">2024-05-04T15:05:52+02:00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