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obniża opłaty i zachęca do inwestowania w fundusze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Brak opłaty z tytułu nabycia jednostek uczestnictwa w funduszach inwestycyjnych oraz niższe opłaty za zarządzanie funduszami. Credit Agricole zachęca w ten sposób klientów do korzystania ze swojej oferty inwestycyjnej.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stycznia bank Credit Agricole uruchomił „Zimową promocję” funduszy inwestycyjnych, która polega na obniżeniu do 0 zł opłaty z tytułu zlecenia nabycia jednostek uczestnictwa. Aby nic nie zapłacić, zlecenie należy złożyć za pośrednictwem serwisu internetowego CA24 a w polu "kod promocyjny" wpisać: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promocja</w:t>
      </w:r>
      <w:r>
        <w:rPr>
          <w:rFonts w:ascii="calibri" w:hAnsi="calibri" w:eastAsia="calibri" w:cs="calibri"/>
          <w:sz w:val="24"/>
          <w:szCs w:val="24"/>
        </w:rPr>
        <w:t xml:space="preserve">. Przelew należy wykonać najpóźniej 29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obejmuje opłatę dystrybucyjną subfunduszy Credit Agricole FIO (w ramach Programu Inwestuję) i opłatę manipulacyjną funduszy AMUNDI Parasolowy FIO (w ramach programu Aktywnie Inwestuję) oraz AMUNDI Stars SFIO (w ramach programu Aktywnie Inwestuję Stars), pobieraną z tytułu nabycia jednostek uczestnictwa wybranego subfunduszu.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roku Credit Agricole obniżył również wysokość stawek opłat za zarządzanie funduszami. Nowe stawki kształtują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AMUNDI Globalnych Perspektyw Dynamiczny zmiana z 2,5% na 2%;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 Akcyjny z 2,5% na 2%;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 Dynamiczny Polski z 2,5% na 2,0%;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 Stabilnego Wzrostu z 2,25% na 2%.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Fundusze inwestycyjne oferowane przez sieć sprzedaży banku Credit Agricole cieszą się coraz większą popularnością i osiągają bardzo dobre wyniki. Do najpopularniejszych należy fundusz AMUNDI Stars Global Ecology ESG, na którego portfel składają się globalne spółki odpowiedzialne społecznie. Fundusz uruchomiony pod koniec 2020 r. w ciągu 12 miesięcy zwiększył swoją wartość o ponad 100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Wyraźnie widzimy rosnące zainteresowanie klientów produktami inwestycyjnymi, opartymi o indeksy spółek inwestujących w zielone technologie i troszczących się o czystość środowiska. To nasze najlepiej sprzedające się produkty, co bardzo nas cieszy – komentuje Tomasz Wyłuda, dyrektor Biura Doradztwa Inwestycyjnego w Credit Agriole.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stycznia do oferty banku wprowadzony zostanie nowy produkt strukturyzowany (polisa ubezpieczeniowa z premią inwestycyjną), po raz pierwszy oparty o obligacje społeczne ‘social bonds’ wykorzystywane do finansowania działalności społecznej pozytywnego wpływu. Taka działalność może obejmować np. walkę z wykluczeniem cyfrowym, usuwanie nierówności społecznych i dyskryminacji, lub wyrównanie szans rozwojowych poszczególnych regionów.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Przypominamy, że inwestując środki w fundusze inwestycyjne, należy mieć świadomość istnienia ryzyka związanego z możliwością znacznych wahań wyceny jednostek uczestnictwa w trakcie trwania inwestycji, a w związku z tym, z brakiem gwarancji zwrotu całości zainwestowanych środków, czy z możliwością utraty przynajmniej części zainwestowanych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funduszy inwestycyjnych oferowanych przez bank Credit Agricole w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Fundusz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12M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Ostrożny Inwestor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-2,74%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Globalnych Perspektyw Konserwatywny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-1,32%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Globalnych Perspektyw Umiarkowany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+4,49%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Globalnych Perspektyw Dynamiczny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+11,03%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Stars Global Ecology ESG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+16,46%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Stars Silver Age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+17,85%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Stars International Value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+7,09%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Amundi Stars Global Aggregate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-2,38%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Fundusz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12M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Stabilnego Wzrostu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-0,75%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Dynamiczny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+11,12%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Akcyjny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+26,20%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Dłużny Krótkoterminowy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-2,16%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2024-05-17T10:46:19+02:00</dcterms:created>
  <dcterms:modified xsi:type="dcterms:W3CDTF">2024-05-17T10:46:19+02:00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