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konferencję Coface Country Risk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środę i czwartek (6-7 kwietnia) odbędzie się doroczna konferencja Coface Country Risk – Zarządzanie ryzykiem w zmieniającym się świecie. Bank Credit Agricole jest partnerem strategicznym tego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Podjęliśmy decyzję o wsparciu tegorocznej edycji konferencji Country Risk Conference jako partner strategiczny, ponieważ zależny nam na udziale w dyskusji na temat zmieniającego się świata oraz ryzyka w prowadzeniu biznesu. Z dumą informuję, że nasze zaangażowanie w to wydarzenie odbywa się niezmiennie 12 lat, a sama idea spotkań to już siedemnastoletnia tradycja </w:t>
      </w:r>
      <w:r>
        <w:rPr>
          <w:rFonts w:ascii="calibri" w:hAnsi="calibri" w:eastAsia="calibri" w:cs="calibri"/>
          <w:sz w:val="24"/>
          <w:szCs w:val="24"/>
        </w:rPr>
        <w:t xml:space="preserve">– powiedział Romain Revel, dyrektor Pionu Klientów Korporacyjnych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Wspierając to wydarzenie, bank chce pomóc przedsiębiorcom w podejmowaniu właściwych decyzji biznesowych, w szczególności tych dotyczących międzynarodowej ekspansji i poszukiwania nowych zagranicznych rynków zbytu.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Wspieramy klientów korporacyjnych w finansowaniu handlu, proponując rozwiązania minimalizujące ryzyka międzynarodowej wymiany handlowej i zapewniające płynność rozliczeń z tytułu kontraktów międzynarodowych. Nasza oferta obejmuje również produkty optymalizujące przepływy pieniężne z tytułu realizacji kontraktów zawartych z zagranicznym kontrahentami. Zależy nam na tym, żeby klienci dobrze rozumieli ryzyka, jakie się z tym wiążą i potrafili nimi zarządzać</w:t>
      </w:r>
      <w:r>
        <w:rPr>
          <w:rFonts w:ascii="calibri" w:hAnsi="calibri" w:eastAsia="calibri" w:cs="calibri"/>
          <w:sz w:val="24"/>
          <w:szCs w:val="24"/>
        </w:rPr>
        <w:t xml:space="preserve"> – mówi Romain Revel.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globalnej gospodarce, na który decyduje się coraz większa liczba zadowolonych klientów banku dostarcza wyzwań, których do tej pory nie było, ale rodzi też pytania przedsiębiorców: jak zawirowania na rynkach walutowych oraz niestabilna sytuacja na rynku surowców mogą wpłynąć na polski eksport? Czy ryzyko w transakcjach handlowych dotyczy wyłącznie rynków zagranicznych? Jak nim zarządzać? Odpowiedzi na te wątpliwości pojawią się właśnie w czasie Country Risk Conference szczególnie podczas wykładu dr Jakuba Borowskiego, Głównego Ekonomisty Credit Agricole, na temat wpływu wojny w Ukrainie na średnioterminowe perspektywy wzrostu gospodarczego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do czynienia z bardzo wysoką na tle historycznym niepewnością. Wojna w Ukrainie przyczyni się do spadku polskiego eksportu do Białorusi, Rosji i na Ukrainę, wolniejszego wzrostu konsumpcji wskutek wyższej inflacji i podwyższonej niepewności, a także spowolnienia wzrostu inwestycji prywatnych, odkładanych w oczekiwaniu na deeskalację sytuacji w Ukrainie i związaną z tym wyraźną poprawę perspektyw gospodarczych. Oprócz wolniejszego wzrostu popytu polskie firmy muszą się mierzyć z szybko rosnącymi kosztami pracy. Narastającym problemem dla firm są również rosnące ceny surowców energetycznych, a także zakłócenia w łańcuchach dostaw, które również zwiększają presję kosztową. Zakłócenia te, wywołane przez pandemię, są potęgowane przez wojnę w Ukrainie. Można jednak oczekiwać, że polskie firmy dokonają reorientacji geograficznej sprzedaży, co złagodzi wpływ wojny w Ukrainie na eksport </w:t>
      </w:r>
      <w:r>
        <w:rPr>
          <w:rFonts w:ascii="calibri" w:hAnsi="calibri" w:eastAsia="calibri" w:cs="calibri"/>
          <w:sz w:val="24"/>
          <w:szCs w:val="24"/>
        </w:rPr>
        <w:t xml:space="preserve">– mówi dr Jakub Borowski, Główny Ekonomista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Country Risk Conference odbywa się w Polsce już po raz 17, a od 12 lat bank Credit Agricole jest partnerem strategicznym tego wydarzenia. Organizatorem wydarzenia jest COFACE, zajmujący się od 69 lat oceną ryzyka krajów, ubezpieczeniem należności, faktoringiem, informacją gospodarczą i windykacją. Więcej szczegółów pod adresem organizatora konferencji: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Country Risk Conference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untryriskconferen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2024-05-12T02:12:33+02:00</dcterms:created>
  <dcterms:modified xsi:type="dcterms:W3CDTF">2024-05-12T02:12:33+02:00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