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zaprasza na konferencję Coface Country Risk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wtorek 3 października odbędzie się doroczna konferencja Coface Country Risk – Rozpoznawanie ryzyka w niepewnym świecie. Strategicznym partnerem tego wydarzenia jest bank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Coface Country Risk odbędzie się już po raz 18. Tematem przewodnim wydarzenia będzie ograniczanie ryzyka w międzynarodowych i krajowych transakcjach handlowych i wspieranie rozwoju polskich przedsiębiorstw w niepewnym otoczeniu. Na początku konferencji Bernard Muselet, pierwszy wiceprezes Credit Agricole wraz z Jarosławem Jaworskim, CEO Coface Central Europe Region podzielą się ze słuchaczami wiedzą na temat największych wyzwań oczami biznesu. W kolejnych debatach i prelekcjach eksperci i ekonomiści skupią się m.in. na mapie ryzyk w prowadzeniu działalności biznesowej, perspektywach gospodarczych, a także roli CSR we współczesnych firmach.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bank uniwersalny skutecznie wspieramy rozwój przedsiębiorstw już od wielu lat na polskim rynku. Dzięki wnikliwej analizie rynku, obserwacji tendencji i wskaźników gospodarczych, a także doświadczeniu międzynarodowemu możemy świadczyć usługi finansowe na najwyższym eksperckim poziomie i pomagać firmom dostosować działalność do zmieniających się warunków. Dlatego nie mogło nas zabraknąć podczas konferencji Coface Country Risk jako partnera strategicznego</w:t>
      </w:r>
      <w:r>
        <w:rPr>
          <w:rFonts w:ascii="calibri" w:hAnsi="calibri" w:eastAsia="calibri" w:cs="calibri"/>
          <w:sz w:val="24"/>
          <w:szCs w:val="24"/>
        </w:rPr>
        <w:t xml:space="preserve"> – mówi Frederic Lustig, dyrektor Pionu Klientów Korporacyjnych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Coface Country Risk odbędzie się również 40-minutowa prelekcja Jakuba Borowskiego, głównego ekonomisty banku Credit Agricole. W swoim wystąpieniu poruszy on temat wpływu zbliżających się wyborów parlamentarnych na perspektywy sytuacji gospodarczej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Country Risk Conference odbywa się w Polsce już po raz 18, a od 13 lat bank Credit Agricole jest partnerem strategicznym tego wydarzenia. Organizatorem wydarzenia jest COFACE, zajmujący się oceną ryzyka krajów, ubezpieczeniem należności, faktoringiem, informacją gospodarczą i windykacją. Więcej szczegółów pod adresem organizatora konferencji: Country Risk Conference.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w Polsce świadczy klientom korporacyjnym kompletną gamę produktów finasowania handlu w obrocie krajowym i zagranicznym - od gwarancji bankowych, poprzez inkasa eksportowe i importowe, akredytywy importowe i eksportowe, po finansowanie wierzytelności handlowych. Bank udostępnia klientom nowoczesną, przyjazną dla użytkownika aplikację (w ramach bankowości elektronicznej), służącą obsłudze produktów finansowania handlu.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2024-05-21T01:41:17+02:00</dcterms:created>
  <dcterms:modified xsi:type="dcterms:W3CDTF">2024-05-21T01:41:17+02:00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