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Pakiet Zyskowny Duet w ofercie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prowadzi sprzedaż pakietu Zyskowny Duet łączącego atrakcyjnie oprocentowaną lokatę i fundusz inwestycyjny. To propozycja dla osób, które chcą spróbować nowoczesnych metod oszczędzania i inwestowania dających możliwość osiągnięcia atrakcyjnych zysków.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Zyskowny Duet</w:t>
      </w:r>
      <w:r>
        <w:rPr>
          <w:rFonts w:ascii="calibri" w:hAnsi="calibri" w:eastAsia="calibri" w:cs="calibri"/>
          <w:sz w:val="24"/>
          <w:szCs w:val="24"/>
        </w:rPr>
        <w:t xml:space="preserve"> to połączenie 3-miesięcznej lokaty oprocentowanej nawet na 4% w skali roku, z dowolnym subfunduszem wydzielonym w funduszu Amundi Parasolowy FIO w ramach programu „Inwestuję z Planem”.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Minimalna łączna kwota inwestycji w pakiecie </w:t>
      </w:r>
      <w:r>
        <w:rPr>
          <w:rFonts w:ascii="calibri" w:hAnsi="calibri" w:eastAsia="calibri" w:cs="calibri"/>
          <w:sz w:val="24"/>
          <w:szCs w:val="24"/>
          <w:b/>
        </w:rPr>
        <w:t xml:space="preserve">Zyskowny Duet</w:t>
      </w:r>
      <w:r>
        <w:rPr>
          <w:rFonts w:ascii="calibri" w:hAnsi="calibri" w:eastAsia="calibri" w:cs="calibri"/>
          <w:sz w:val="24"/>
          <w:szCs w:val="24"/>
        </w:rPr>
        <w:t xml:space="preserve"> to 4 tys. zł. Klient sam wybiera jedną z dwóch możliwości podziału swoich środków pomiędzy lokatę i subfundusz: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50% subfundusz + 50% lokata z oprocentowaniem 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30% subfundusz + 70% lokata z oprocentowaniem 2,5%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Subfundusz, w który inwestowane będą środki, także wybierany jest samodzielnie przez Klienta na podstawie oczekiwanych zysków i akceptowalnego poziomu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trzech miesiącach pieniądze z lokaty, wraz z naliczonymi odsetkami, można wypłacić lub zdecydować o odnowieniu lokaty na kolejny okres z oprocentowaniem obowiązującym dla standardowych lokat 3-miesięcznych. Natomiast inwestycja w fundusz może trwać nadal, nie ma określonego terminu jej zakończenia. Jeśli jednak klient zdecyduje się poczekać trzy lata i w każdym kolejnym roku suma wpłat wyniesie co najmniej 1 200 PLN nie poniesie kosztów odkupienia jednostek uczestnictwa z subfunduszu.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Klienci zyskują wybierając ofertę </w:t>
      </w:r>
      <w:r>
        <w:rPr>
          <w:rFonts w:ascii="calibri" w:hAnsi="calibri" w:eastAsia="calibri" w:cs="calibri"/>
          <w:sz w:val="24"/>
          <w:szCs w:val="24"/>
          <w:b/>
        </w:rPr>
        <w:t xml:space="preserve">Zyskowny Duet</w:t>
      </w:r>
      <w:r>
        <w:rPr>
          <w:rFonts w:ascii="calibri" w:hAnsi="calibri" w:eastAsia="calibri" w:cs="calibri"/>
          <w:sz w:val="24"/>
          <w:szCs w:val="24"/>
        </w:rPr>
        <w:t xml:space="preserve">? - Przede wszystkim mogą liczyć na osiągnięcie potencjalnie wyższych zysków, niż w przypadku standardowych form oszczędzania. Środki zgromadzone na lokacie są oprocentowane wyżej niż na standardowej lokacie dostępnej w Credit Agricole. Natomiast inwestycja w fundusz również daje możliwość osiągnięcia atrakcyjnych zysków, jednak należy być świadomym ryzyka związanego z inwestycją – informuje Tomasz Bilski, odpowiedzialny za obszar funduszy inwestycyjnych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skorzystaniem z oferty </w:t>
      </w:r>
      <w:r>
        <w:rPr>
          <w:rFonts w:ascii="calibri" w:hAnsi="calibri" w:eastAsia="calibri" w:cs="calibri"/>
          <w:sz w:val="24"/>
          <w:szCs w:val="24"/>
          <w:b/>
        </w:rPr>
        <w:t xml:space="preserve">Zyskowny Duet</w:t>
      </w:r>
      <w:r>
        <w:rPr>
          <w:rFonts w:ascii="calibri" w:hAnsi="calibri" w:eastAsia="calibri" w:cs="calibri"/>
          <w:sz w:val="24"/>
          <w:szCs w:val="24"/>
        </w:rPr>
        <w:t xml:space="preserve"> każdy klient informowany jest o potencjalnych ryzykach związanych z aktywnością inwestycyjną. - Zależy nam, aby klient, który nie zna się na inwestowaniu podjął świadomą decyzję i dobrze znał czynniki ryzyka występujące w ofercie, dlatego otwarcie go o tym informujemy. Jednym z narzędzi, które pomaga nam w określeniu poziomu wiedzy i doświadczenia klienta w lokowaniu środków w instrumenty finansowe, jest przeprowadzenie oceny wiedzy i doświadczenia klienta w zakresie inwestowania - wyjaśnia Tomasz Bilski.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2024-05-04T16:28:24+02:00</dcterms:created>
  <dcterms:modified xsi:type="dcterms:W3CDTF">2024-05-04T16:28:24+02:00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