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zajął 3. miejsce w konkursie Najlepszy Bank organizowanym przez Gazetę Bankową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Gazeta Bankowa organizuje plebiscyt już od 26 lat. Wyróżnia w nim najlepsze małe, średnie i duże banki komercyjne oraz spółdzielcze. Pod uwagę bierze szereg wskaźników określających dynamikę, strukturę portfela, efektywności instytucji, a także jakościową ocenę członków jury.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Bank Credit Agricole zajął 3. miejsce w kategorii małych i średnich banków komercyjnych.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Wyróżnienie to ma dla nas szczególne znaczenie. Jesteśmy w fazie dużych zmian: zaczynaliśmy od modelu Consumer Finance, a teraz – zachowując silną pozycję w tym obszarze – stajemy się bankiem uniwersalnym z bardzo szeroką ofertą finansową i ubezpieczeniową</w:t>
      </w:r>
      <w:r>
        <w:rPr>
          <w:rFonts w:ascii="calibri" w:hAnsi="calibri" w:eastAsia="calibri" w:cs="calibri"/>
          <w:sz w:val="24"/>
          <w:szCs w:val="24"/>
        </w:rPr>
        <w:t xml:space="preserve"> – mówi Piotr Kwiatkowski, prezes zarządu banku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Zmiana Credit Agricole polega nie tylko na poszerzeniu oferty ale i zmianie organizacji pracy: automatyzacji procesów, wprowadzaniu robotyzacji, rozwoju zarządzania agile. Bank równocześnie inwestuje w doradców: szkoli, rozwija ich kompetencje. Motorem tych działań jest klient i jego pozytywne doświadczenie.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Stawiamy na długoterminowe relacje z klientami i wierzymy, że na tym możemy budować naszą przewagę konkurencyjną. Jesteśmy bankiem uważnym, który słucha swoich klientów i oferuje im rozwiązania, jakich naprawdę potrzebują</w:t>
      </w:r>
      <w:r>
        <w:rPr>
          <w:rFonts w:ascii="calibri" w:hAnsi="calibri" w:eastAsia="calibri" w:cs="calibri"/>
          <w:sz w:val="24"/>
          <w:szCs w:val="24"/>
        </w:rPr>
        <w:t xml:space="preserve">- dodaje Piotr Kwiatkowski.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2024-04-25T01:37:24+02:00</dcterms:created>
  <dcterms:modified xsi:type="dcterms:W3CDTF">2024-04-25T01:37:24+02:00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