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Coface Country Risk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środę i czwartek (6-7 kwietnia) odbędzie się doroczna konferencja Coface Country Risk – Zarządzanie ryzykiem w zmieniającym się świecie. Bank Credit Agricole jest partnerem strategicznym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Podjęliśmy decyzję o wsparciu tegorocznej edycji konferencji Country Risk Conference jako partner strategiczny, ponieważ zależny nam na udziale w dyskusji na temat zmieniającego się świata oraz ryzyka w prowadzeniu biznesu. Z dumą informuję, że nasze zaangażowanie w to wydarzenie odbywa się niezmiennie 12 lat, a sama idea spotkań to już siedemnastoletnia tradycja </w:t>
      </w:r>
      <w:r>
        <w:rPr>
          <w:rFonts w:ascii="calibri" w:hAnsi="calibri" w:eastAsia="calibri" w:cs="calibri"/>
          <w:sz w:val="24"/>
          <w:szCs w:val="24"/>
        </w:rPr>
        <w:t xml:space="preserve">– powiedział Romain Revel,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to wydarzenie, bank chce pomóc przedsiębiorcom w podejmowaniu właściwych decyzji biznesowych, w szczególności tych dotyczących międzynarodowej ekspansji i poszukiwania nowych zagranicznych rynków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klientów korporacyjnych w finansowaniu handlu, proponując rozwiązania minimalizujące ryzyka międzynarodowej wymiany handlowej i zapewniające płynność rozliczeń z tytułu kontraktów międzynarodowych. Nasza oferta obejmuje również produkty optymalizujące przepływy pieniężne z tytułu realizacji kontraktów zawartych z zagranicznym kontrahentami. Zależy nam na tym, żeby klienci dobrze rozumieli ryzyka, jakie się z tym wiążą i potrafili nimi zarządzać</w:t>
      </w:r>
      <w:r>
        <w:rPr>
          <w:rFonts w:ascii="calibri" w:hAnsi="calibri" w:eastAsia="calibri" w:cs="calibri"/>
          <w:sz w:val="24"/>
          <w:szCs w:val="24"/>
        </w:rPr>
        <w:t xml:space="preserve"> – mówi Romain Revel.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globalnej gospodarce, na który decyduje się coraz większa liczba zadowolonych klientów banku dostarcza wyzwań, których do tej pory nie było, ale rodzi też pytania przedsiębiorców: jak zawirowania na rynkach walutowych oraz niestabilna sytuacja na rynku surowców mogą wpłynąć na polski eksport? Czy ryzyko w transakcjach handlowych dotyczy wyłącznie rynków zagranicznych? Jak nim zarządzać? Odpowiedzi na te wątpliwości pojawią się właśnie w czasie Country Risk Conference szczególnie podczas wykładu dr Jakuba Borowskiego, Głównego Ekonomisty Credit Agricole, na temat wpływu wojny w Ukrainie na średnioterminowe perspektywy wzrostu gospodarczego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do czynienia z bardzo wysoką na tle historycznym niepewnością. Wojna w Ukrainie przyczyni się do spadku polskiego eksportu do Białorusi, Rosji i na Ukrainę, wolniejszego wzrostu konsumpcji wskutek wyższej inflacji i podwyższonej niepewności, a także spowolnienia wzrostu inwestycji prywatnych, odkładanych w oczekiwaniu na deeskalację sytuacji w Ukrainie i związaną z tym wyraźną poprawę perspektyw gospodarczych. Oprócz wolniejszego wzrostu popytu polskie firmy muszą się mierzyć z szybko rosnącymi kosztami pracy. Narastającym problemem dla firm są również rosnące ceny surowców energetycznych, a także zakłócenia w łańcuchach dostaw, które również zwiększają presję kosztową. Zakłócenia te, wywołane przez pandemię, są potęgowane przez wojnę w Ukrainie. Można jednak oczekiwać, że polskie firmy dokonają reorientacji geograficznej sprzedaży, co złagodzi wpływ wojny w Ukrainie na eksport </w:t>
      </w:r>
      <w:r>
        <w:rPr>
          <w:rFonts w:ascii="calibri" w:hAnsi="calibri" w:eastAsia="calibri" w:cs="calibri"/>
          <w:sz w:val="24"/>
          <w:szCs w:val="24"/>
        </w:rPr>
        <w:t xml:space="preserve">– mówi dr Jakub Borowski, Główny Ekonomista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Country Risk Conference odbywa się w Polsce już po raz 17, a od 12 lat bank Credit Agricole jest partnerem strategicznym tego wydarzenia. Organizatorem wydarzenia jest COFACE, zajmujący się od 69 lat oceną ryzyka krajów, ubezpieczeniem należności, faktoringiem, informacją gospodarczą i windykacją. Więcej szczegółów pod adresem organizatora konferencji: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Country Risk Conference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2026-03-12T10:48:05+01:00</dcterms:created>
  <dcterms:modified xsi:type="dcterms:W3CDTF">2026-03-12T10:48:05+01:00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