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Biznesu – rok innowacji i wsparcia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50 tys. klientów korzysta już ze Strefy Biznesu – platformy łączącej produkty bankowe, leasingowe i usługi dodatkowe, wspierając rozwój małych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Biznesu, uruchomiona wspólnie przed bank Credit Agricole i Grupę EFL, to nowatorski hub dla przedsiębiorców, umożliwiający zarządzanie codziennymi sprawami firmy w jednym miejscu. Platforma oferuje dostęp do produktów bankowych, leasingowych oraz usług partnerów takich jak CashDirector, LUX MED czy Carefleet, wspierając rozwój mikro i małych przedsiębiorstw. Z platformy korzysta ponad 50 tys. właścicieli jednoosobowych działalności gospodarczych oraz rolników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Strefa Biznesu to odpowiedź na potrzeby naszych klientów, którzy oczekują kompleksowych rozwiązań finansowych w jednym miejscu. Naszym celem jest dostarczenie usług z korzyścią dla klientów, aby mogli skupić się na prowadzeniu i rozwijaniu swojego biznesu</w:t>
      </w:r>
      <w:r>
        <w:rPr>
          <w:rFonts w:ascii="calibri" w:hAnsi="calibri" w:eastAsia="calibri" w:cs="calibri"/>
          <w:sz w:val="24"/>
          <w:szCs w:val="24"/>
        </w:rPr>
        <w:t xml:space="preserve"> – podkreśla Filip Kaczmarek, dyrektor Pionu Małych i Średnich Przedsiębiorstw oraz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klienci znajdą wszystko, czego potrzebują, by na co dzień efektywnie i wygodnie prowadzić i rozwijać swój biznes: produkty bankowe, leasingowe, kredytowe oraz usługi dodatkowe, takie jak: księgowość, pakiety medyczne, kwalifikowany podpis elektroniczny czy terminal płatniczy.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Strefa Biznesu została wzbogacona o nowe, przydatne funkcje: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operacji</w:t>
      </w:r>
      <w:r>
        <w:rPr>
          <w:rFonts w:ascii="calibri" w:hAnsi="calibri" w:eastAsia="calibri" w:cs="calibri"/>
          <w:sz w:val="24"/>
          <w:szCs w:val="24"/>
        </w:rPr>
        <w:t xml:space="preserve">: od stycznia dostępna jest pełna lista transakcji, do której można przejść bezpośrednio z pulpitu nawigacyjnego.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Faktury EFL</w:t>
      </w:r>
      <w:r>
        <w:rPr>
          <w:rFonts w:ascii="calibri" w:hAnsi="calibri" w:eastAsia="calibri" w:cs="calibri"/>
          <w:sz w:val="24"/>
          <w:szCs w:val="24"/>
        </w:rPr>
        <w:t xml:space="preserve">: usprawniono sortowanie, filtrowanie oraz podgląd statusu faktur.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Kantor</w:t>
      </w:r>
      <w:r>
        <w:rPr>
          <w:rFonts w:ascii="calibri" w:hAnsi="calibri" w:eastAsia="calibri" w:cs="calibri"/>
          <w:sz w:val="24"/>
          <w:szCs w:val="24"/>
        </w:rPr>
        <w:t xml:space="preserve">: umożliwiono wygodną wymianę walut.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spotkaniami z doradcą</w:t>
      </w:r>
      <w:r>
        <w:rPr>
          <w:rFonts w:ascii="calibri" w:hAnsi="calibri" w:eastAsia="calibri" w:cs="calibri"/>
          <w:sz w:val="24"/>
          <w:szCs w:val="24"/>
        </w:rPr>
        <w:t xml:space="preserve">: w sekcji Mój Doradca, klienci mogą teraz przeglądać nadchodzące spotkania, edytować je lub odwoływać w razie potrzeby.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Czat</w:t>
      </w:r>
      <w:r>
        <w:rPr>
          <w:rFonts w:ascii="calibri" w:hAnsi="calibri" w:eastAsia="calibri" w:cs="calibri"/>
          <w:sz w:val="24"/>
          <w:szCs w:val="24"/>
        </w:rPr>
        <w:t xml:space="preserve">: pozwalający na szybki kontakt z doradcą.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Wpływy z terminala POS</w:t>
      </w:r>
      <w:r>
        <w:rPr>
          <w:rFonts w:ascii="calibri" w:hAnsi="calibri" w:eastAsia="calibri" w:cs="calibri"/>
          <w:sz w:val="24"/>
          <w:szCs w:val="24"/>
        </w:rPr>
        <w:t xml:space="preserve">: na pulpicie nawigacyjnym oraz w zakładce Narzędzia -&gt; Terminale, można śledzić ostatnie wpływy oraz podsumowanie miesięczne przedstawione w formie wykresu.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oferty</w:t>
      </w:r>
      <w:r>
        <w:rPr>
          <w:rFonts w:ascii="calibri" w:hAnsi="calibri" w:eastAsia="calibri" w:cs="calibri"/>
          <w:sz w:val="24"/>
          <w:szCs w:val="24"/>
        </w:rPr>
        <w:t xml:space="preserve">: w zakładce Usługi i korzyści dostępne są najnowsze propozycje dostosowane do potrzeb biznesu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Uruchomiona w 2024 roku Strefa Biznesu została doceniona na rynku, otrzymując prestiżowe nagrody, takie jak tytuł „Turbiny Polskiej Gospodarki” oraz „IBS Intelligence Digital Banking 2024 Award”. Te wyróżnienia potwierdzają zaangażowanie Credit Agricole i EFL w dostarczanie innowacyjnych rozwiązań dla sektora MŚP.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2026-07-07T10:43:49+02:00</dcterms:created>
  <dcterms:modified xsi:type="dcterms:W3CDTF">2026-07-07T10:43:49+02:00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