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Ubezpiecz się i zainwestuj w indeks ochrony zdrowia. Oferta Invest Medica IV w Credit Agricole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Credit Agricole startuje z dystrybucją czwartej edycji ubezpieczenia na życie i dożycie z elementem inwestycyjnym w spółki ochrony zdrowia. Poprzednie trzy emisje cieszyły się ogromnym zainteresowaniem klientów.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Sektor medyczny rośnie w siłę w związku ze wzrostem popularności suplementów diety, mody na zdrowy tryb życia oraz powiększającej się wiedzy konsumentów na tematy dotyczące tzw. self-care. Według raportu „Stan i perspektywy sektora ochrony zdrowia na świecie 2018” firmy Deloitte, w 2020 roku wydatki na opiekę zdrowotną wyniosą 8,7 biliona dolarów, co świadczy o wzroście o 4,3 proc. w stosunku do roku 2015. Ma na to wpływ także wzrastająca liczba osób powyżej 65. roku życia, która wynosi ponad 656 milionów i stanowi ponad 11 proc. całkowitej populacji.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uwagi na to, bank Credit Agricole po raz czwarty zdecydował się na dystrybucję ubezpieczenia na życie i dożycie z Ubezpieczeniowym Funduszem Kapitałowym „Invest Medica IV” opartym o indeks europejskich spółek sektora ochrony zdrowia. Minimalna kwota, jaką może wpłacić klient to 3000 złotych, a maksymalna - 1 020 000 złotych. Invest Medica IV umożliwia klientowi partycypację we wzroście indeksu na poziomie 100 proc. przy jednoczesnej ochronie zainwestowanego kapitału na koniec trwania ubezpieczenia, które obejmuje okres czterech lat.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Oznacza to, że jeśli średnia z czterech rocznych obserwacji w stosunku do wartości początkowej wyniesie 11 proc., wówczas klient otrzyma 11 proc. zysku</w:t>
      </w:r>
      <w:r>
        <w:rPr>
          <w:rFonts w:ascii="calibri" w:hAnsi="calibri" w:eastAsia="calibri" w:cs="calibri"/>
          <w:sz w:val="24"/>
          <w:szCs w:val="24"/>
        </w:rPr>
        <w:t xml:space="preserve"> – dodaje Szymon Księżopolski z Biura Doradztwa Inwestycyjnego Credit Agricole.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Klient może w każdej chwili wycofać zainwestowane pieniądze, wtedy ubezpieczyciel wypłaci je potrącając 1 proc. od wartości wykupu (w tym przypadku nie przysługuje ochrona zainwestowanego kapitału). Jeśli natomiast klient nie zrezygnuje do końca trwania ubezpieczenia, to bank wypłaci mu środki wraz z ewentualnym zyskiem (wypłata następuje na wniosek klienta).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Jako bank wybraliśmy indeks skupiający najlepsze 48 europejskich spółek medycznych, działających na rzecz ochrony zdrowia i medycyny. To jest indeks, w który inwestowane są pieniądze naszych klientów przez Emitenta instrumentu. Klient korzystający z tego produktu, ponosi 2 proc. opłaty początkowej. Pozostałe 98 proc. wpłaconych środków idzie na zakup jednostek uczestnictwa w indeksie, na którym oparta jest inwestycja. Ponadto, musimy pamiętać, że jest to produkt podlegający zmienności, tym samym wiążę się z ryzykiem inwestycyjnym , o którym powinni pamiętać nasi klienci, podejmując indywidualną decyzję o zakupie polisy</w:t>
      </w:r>
      <w:r>
        <w:rPr>
          <w:rFonts w:ascii="calibri" w:hAnsi="calibri" w:eastAsia="calibri" w:cs="calibri"/>
          <w:sz w:val="24"/>
          <w:szCs w:val="24"/>
        </w:rPr>
        <w:t xml:space="preserve"> – tłumaczy Szymon Księżopolski.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Dobór spółek sektora zdrowia został oparty o indeks, który daje inwestorom możliwość śledzenia 48 spółek o najwyższym potencjale wypracowania zysku wśród firm działających w szeroko rozumianym sektorze medycznym. Raz na kwartał przeprowadzana jest weryfikacja spółek wchodzących w skład indeksu, tak, aby firmy, które pracują na premię dla klienta, należały do czołówki firm sektora zdrowotnego w Europie. Firmy te są specjalnie wyselekcjonowane z indeksu STOXX Europe 600 reprezentującego czołowe spółki europejskie o stabilnych przychodach. Wśród nich znajdują się m.in. GlaxoSmithKline, Novartis, Novo Nordisk, Roche. Poprzednia edycja oferty ubezpieczeń Invest Medica III okazała się sukcesem i cieszyła się bardzo dużym zainteresowaniem wśród klientów.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skorzystać z oferty, należy przyjść do placówki banku Credit Agricole w dniach od 19 marca do 4 maja, wypełnić dokumenty i wpłacić środki. Aktualny wskaźnik wyceny jednostki klienci będą mogli na bieżąco sprawdzać na stronie banku.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2026-10-27T11:53:17+01:00</dcterms:created>
  <dcterms:modified xsi:type="dcterms:W3CDTF">2026-10-27T11:53:17+01:00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