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opłaci raty leasingu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1200zł w prezencie od banku? Tak, to nie żart. Wychodząc naprzeciw oczekiwaniom klientów biznesowych korzystających z oferty leasingu, Grupa Credit Agricole oferuje dwie specjalne propozycje dla stałych posiadaczy Konta Biznes oraz nowych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firm, którzy nie mają jeszcze konta w banku Credit Agricole, mogą wybrać jeden z trzech dostępnych wariantów Konta Biznes: Sonata, Symfonia lub Solista, w zależności od potrzeb swojej firmy. We wszystkich trzech wariantach bank zapewnia opiekę doradcy klienta biznesowego w każdej placówce, kartę Visa Business Debit bezpłatnie przez pierwsze trzy miesiące, 100 bezpłatnych przelewów miesięcznie oraz darmowe przelewy w automatycznym serwisie telefonicznym CA24.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Nowi klienci z sektora małych i średnich przedsiębiorstw (SME) przez pierwszy rok korzystają z Konta Biznes całkowicie bezpłatnie. Ponadto bank spłaca ostatnią ratę leasingu (nie więcej niż 1200 zł). Z bonusu może skorzystać klient, który aktywnie korzysta z konta firmowego w Credit Agricole i realizuje z niego m.in. płatności składek ZUS i rat leasingowych.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„Oferta powitalna Konto Biznes z leasingiem” skierowana jest do klientów firmowych, którzy w okresie trwania promocji podpiszą z bankiem Credit Agricole umowę otwarcia nowego Konta Biznes oraz zawrą umowę leasingu. Można z niej skorzystać w placówkach bankowych oraz sieci sprzedaży Europejskiego Funduszu Leasingowego (EFL).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stałych klientów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Druga oferta specjalna skierowana jest do obecnych klientów SME, którzy posiadają już Konto Biznes w Credit Agricole. Została nazwana „Płacimy ostatnią ratę Twojego nowego leasingu”, ponieważ bank gwarantuje spłatę ostatniej raty leasingu (maksymalnie 1200 zł). Również w przypadku tej promocji, aby z niej skorzystać, klient musi aktywnie korzystać z Konta Biznes i opłacać z niego składki na ubezpieczenia społeczne oraz comiesięczne opłaty leasingowe.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skorzystać z oferty? Wystarczy odwiedzić jedną z 450 placówek bankowych Credit Agricole, spotkać się z doradcą i podpisać umowę.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nasza oferta spotka się z zainteresowaniem rynku, ponieważ jej warunki są naprawdę atrakcyjne. Małe i średnie firmy bardzo skrupulatnie liczą koszty swojej działalności a my pozwalamy wyraźnie obniżyć koszty obsługi bankowej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leasingowej</w:t>
      </w:r>
      <w:r>
        <w:rPr>
          <w:rFonts w:ascii="calibri" w:hAnsi="calibri" w:eastAsia="calibri" w:cs="calibri"/>
          <w:sz w:val="24"/>
          <w:szCs w:val="24"/>
        </w:rPr>
        <w:t xml:space="preserve"> – przekonuje Mateusz Twaróg, dyrektor departamentu małych i średnich przedsiębiorstw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Obie promocje są dostępne do końca maja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2026-05-16T00:50:51+02:00</dcterms:created>
  <dcterms:modified xsi:type="dcterms:W3CDTF">2026-05-16T00:50:51+02:00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