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obniża opłaty i zachęca do inwestowania w fundusze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Brak opłaty z tytułu nabycia jednostek uczestnictwa w funduszach inwestycyjnych oraz niższe opłaty za zarządzanie funduszami. Credit Agricole zachęca w ten sposób klientów do korzystania ze swojej oferty inwestycyjnej.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początkiem stycznia bank Credit Agricole uruchomił „Zimową promocję” funduszy inwestycyjnych, która polega na obniżeniu do 0 zł opłaty z tytułu zlecenia nabycia jednostek uczestnictwa. Aby nic nie zapłacić, zlecenie należy złożyć za pośrednictwem serwisu internetowego CA24 a w polu "kod promocyjny" wpisać: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promocja</w:t>
      </w:r>
      <w:r>
        <w:rPr>
          <w:rFonts w:ascii="calibri" w:hAnsi="calibri" w:eastAsia="calibri" w:cs="calibri"/>
          <w:sz w:val="24"/>
          <w:szCs w:val="24"/>
        </w:rPr>
        <w:t xml:space="preserve">. Przelew należy wykonać najpóźniej 29 marca.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Promocja obejmuje opłatę dystrybucyjną subfunduszy Credit Agricole FIO (w ramach Programu Inwestuję) i opłatę manipulacyjną funduszy AMUNDI Parasolowy FIO (w ramach programu Aktywnie Inwestuję) oraz AMUNDI Stars SFIO (w ramach programu Aktywnie Inwestuję Stars), pobieraną z tytułu nabycia jednostek uczestnictwa wybranego subfunduszu.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początkiem roku Credit Agricole obniżył również wysokość stawek opłat za zarządzanie funduszami. Nowe stawki kształtują się następująco: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AMUNDI Globalnych Perspektyw Dynamiczny zmiana z 2,5% na 2%;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CA Akcyjny z 2,5% na 2%;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CA Dynamiczny Polski z 2,5% na 2,0%;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CA Stabilnego Wzrostu z 2,25% na 2%.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Fundusze inwestycyjne oferowane przez sieć sprzedaży banku Credit Agricole cieszą się coraz większą popularnością i osiągają bardzo dobre wyniki. Do najpopularniejszych należy fundusz AMUNDI Stars Global Ecology ESG, na którego portfel składają się globalne spółki odpowiedzialne społecznie. Fundusz uruchomiony pod koniec 2020 r. w ciągu 12 miesięcy zwiększył swoją wartość o ponad 100 mln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Wyraźnie widzimy rosnące zainteresowanie klientów produktami inwestycyjnymi, opartymi o indeksy spółek inwestujących w zielone technologie i troszczących się o czystość środowiska. To nasze najlepiej sprzedające się produkty, co bardzo nas cieszy – komentuje Tomasz Wyłuda, dyrektor Biura Doradztwa Inwestycyjnego w Credit Agriole.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koniec stycznia do oferty banku wprowadzony zostanie nowy produkt strukturyzowany (polisa ubezpieczeniowa z premią inwestycyjną), po raz pierwszy oparty o obligacje społeczne ‘social bonds’ wykorzystywane do finansowania działalności społecznej pozytywnego wpływu. Taka działalność może obejmować np. walkę z wykluczeniem cyfrowym, usuwanie nierówności społecznych i dyskryminacji, lub wyrównanie szans rozwojowych poszczególnych regionów.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Przypominamy, że inwestując środki w fundusze inwestycyjne, należy mieć świadomość istnienia ryzyka związanego z możliwością znacznych wahań wyceny jednostek uczestnictwa w trakcie trwania inwestycji, a w związku z tym, z brakiem gwarancji zwrotu całości zainwestowanych środków, czy z możliwością utraty przynajmniej części zainwestowanych środków.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Wyniki funduszy inwestycyjnych oferowanych przez bank Credit Agricole w 2021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Fundusz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Zmiana 12M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Amundi Ostrożny Inwestor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-2,74%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Amundi Globalnych Perspektyw Konserwatywny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-1,32%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Amundi Globalnych Perspektyw Umiarkowany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+4,49%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Amundi Globalnych Perspektyw Dynamiczny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+11,03%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Amundi Stars Global Ecology ESG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+16,46%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Amundi Stars Silver Age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+17,85%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Amundi Stars International Value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+7,09%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Amundi Stars Global Aggregate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-2,38%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Fundusz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Zmiana 12M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Stabilnego Wzrostu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-0,75%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Dynamiczny Polski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+11,12%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Akcyjny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+26,20%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Dłużny Krótkoterminowy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-2,16%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2026-11-06T16:37:51+01:00</dcterms:created>
  <dcterms:modified xsi:type="dcterms:W3CDTF">2026-11-06T16:37:51+01:00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