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obniża opłaty i zachęca do inwestowania w fundusze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Brak opłaty z tytułu nabycia jednostek uczestnictwa w funduszach inwestycyjnych oraz niższe opłaty za zarządzanie funduszami. Credit Agricole zachęca w ten sposób klientów do korzystania ze swojej oferty inwestycyjnej.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początkiem stycznia bank Credit Agricole uruchomił „Zimową promocję” funduszy inwestycyjnych, która polega na obniżeniu do 0 zł opłaty z tytułu zlecenia nabycia jednostek uczestnictwa. Aby nic nie zapłacić, zlecenie należy złożyć za pośrednictwem serwisu internetowego CA24 a w polu "kod promocyjny" wpisać: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promocja</w:t>
      </w:r>
      <w:r>
        <w:rPr>
          <w:rFonts w:ascii="calibri" w:hAnsi="calibri" w:eastAsia="calibri" w:cs="calibri"/>
          <w:sz w:val="24"/>
          <w:szCs w:val="24"/>
        </w:rPr>
        <w:t xml:space="preserve">. Przelew należy wykonać najpóźniej 29 marca.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obejmuje opłatę dystrybucyjną subfunduszy Credit Agricole FIO (w ramach Programu Inwestuję) i opłatę manipulacyjną funduszy AMUNDI Parasolowy FIO (w ramach programu Aktywnie Inwestuję) oraz AMUNDI Stars SFIO (w ramach programu Aktywnie Inwestuję Stars), pobieraną z tytułu nabycia jednostek uczestnictwa wybranego subfunduszu.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początkiem roku Credit Agricole obniżył również wysokość stawek opłat za zarządzanie funduszami. Nowe stawki kształtują się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AMUNDI Globalnych Perspektyw Dynamiczny zmiana z 2,5% na 2%;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CA Akcyjny z 2,5% na 2%;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CA Dynamiczny Polski z 2,5% na 2,0%;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CA Stabilnego Wzrostu z 2,25% na 2%.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Fundusze inwestycyjne oferowane przez sieć sprzedaży banku Credit Agricole cieszą się coraz większą popularnością i osiągają bardzo dobre wyniki. Do najpopularniejszych należy fundusz AMUNDI Stars Global Ecology ESG, na którego portfel składają się globalne spółki odpowiedzialne społecznie. Fundusz uruchomiony pod koniec 2020 r. w ciągu 12 miesięcy zwiększył swoją wartość o ponad 100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Wyraźnie widzimy rosnące zainteresowanie klientów produktami inwestycyjnymi, opartymi o indeksy spółek inwestujących w zielone technologie i troszczących się o czystość środowiska. To nasze najlepiej sprzedające się produkty, co bardzo nas cieszy – komentuje Tomasz Wyłuda, dyrektor Biura Doradztwa Inwestycyjnego w Credit Agriole.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stycznia do oferty banku wprowadzony zostanie nowy produkt strukturyzowany (polisa ubezpieczeniowa z premią inwestycyjną), po raz pierwszy oparty o obligacje społeczne ‘social bonds’ wykorzystywane do finansowania działalności społecznej pozytywnego wpływu. Taka działalność może obejmować np. walkę z wykluczeniem cyfrowym, usuwanie nierówności społecznych i dyskryminacji, lub wyrównanie szans rozwojowych poszczególnych regionów.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Przypominamy, że inwestując środki w fundusze inwestycyjne, należy mieć świadomość istnienia ryzyka związanego z możliwością znacznych wahań wyceny jednostek uczestnictwa w trakcie trwania inwestycji, a w związku z tym, z brakiem gwarancji zwrotu całości zainwestowanych środków, czy z możliwością utraty przynajmniej części zainwestowanych środków.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funduszy inwestycyjnych oferowanych przez bank Credit Agricole w 2021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Fundusz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Zmiana 12M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Amundi Ostrożny Inwestor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-2,74%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Amundi Globalnych Perspektyw Konserwatywny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-1,32%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Amundi Globalnych Perspektyw Umiarkowany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+4,49%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Amundi Globalnych Perspektyw Dynamiczny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+11,03%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Amundi Stars Global Ecology ESG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+16,46%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Amundi Stars Silver Age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+17,85%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Amundi Stars International Value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+7,09%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Amundi Stars Global Aggregate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-2,38%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Fundusz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Zmiana 12M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Stabilnego Wzrostu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-0,75%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Dynamiczny Polski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+11,12%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Akcyjny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+26,20%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Dłużny Krótkoterminowy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-2,16%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2026-08-04T23:17:24+02:00</dcterms:created>
  <dcterms:modified xsi:type="dcterms:W3CDTF">2026-08-04T23:17:24+02:00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