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Analitycy Credit Agricole otrzymali nagrodę Top Forecasters dla najlepszych prognostów makroekonomicznych</w:t>
      </w:r>
    </w:p>
    <w:p>
      <w:pPr>
        <w:spacing w:before="0" w:after="500" w:line="264" w:lineRule="auto"/>
      </w:pPr>
      <w:r>
        <w:rPr>
          <w:rFonts w:ascii="calibri" w:hAnsi="calibri" w:eastAsia="calibri" w:cs="calibri"/>
          <w:sz w:val="36"/>
          <w:szCs w:val="36"/>
          <w:b/>
        </w:rPr>
        <w:t xml:space="preserve">Zespół ekonomistów Credit Agricole otrzymał nagrodę Top Forecasters. Analitycy znaleźli się na trzecim miejscu wśród najlepszych prognostów makroekonomicznych i rynkowych dotyczących Polski. Zajęli także pierwsze miejsce w kategorii najlepszych prognostów kursu EUR/PLN.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Nagrody FocusEconomics Analyst Forecast Awards są wyróżnieniami przyznawanymi co roku dla analityków, którzy zaprezentowali najbardziej trafne prognozy za dany okres. Ekonomiści Credit Agricole w składzie: Jakub Borowski, Krystian Jaworski i Jakub Olipra zwyciężyli pod względem trafności prognoz kursu EUR/PLN oraz uplasowali się na trzecim miejscu w generalnej klasyfikacji przewidywań wskaźników makroekonomicznych i rynkowych dotyczących Polski.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zidentyfikować najlepszych prognostów, jury korzysta z prognoz przesłanych do miesięcznej ankiety w ciągu 24 miesięcy. Przy ocenie dokładności prognozy na 2017 r. PKB, brano pod uwagę prognozy zebrane w okresie od stycznia 2016 r. do grudnia 2017 r. Oceniono dokładność przewidywań przesłanych do prognozy Consensus Forecast według średniej ich zdyskontowanych błędów prognoz. Błędy te definiuje się jako bezwzględną różnicę między indywidualną prognozą a faktycznym wynikiem wskaźnika makroekonomicznego.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 nagroda jest dla nas bardzo cenna z dwóch powodów. Po pierwsze, udało nam się uzyskać dobry wynik w warunkach silnej konkurencji ze strony zarówno krajowych, jak i zagranicznych instytucji zajmujących się prognozowaniem sytuacji gospodarczej w Polsce. Po drugie, horyzont prognoz uwzględnianych w rankingu jest zróżnicowany, a uzyskany wynik uwzględnia trafność prognoz formułowanych z niemal dwuletnim wyprzedzeniem. Taki horyzont prognoz jest szczególnie istotny dla klientów korporacyjnych Credit Agricole</w:t>
      </w:r>
      <w:r>
        <w:rPr>
          <w:rFonts w:ascii="calibri" w:hAnsi="calibri" w:eastAsia="calibri" w:cs="calibri"/>
          <w:sz w:val="24"/>
          <w:szCs w:val="24"/>
        </w:rPr>
        <w:t xml:space="preserve"> – komentuje Jakub Borowski, główny ekonomista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Paneliści, którzy wzięli udział w konkursie, musieli złożyć minimalną liczbę prognoz w danym okresie. Rankingi obliczane były według dokładności prognoz dla sześciu głównych wskaźników makroekonomicznych (PKB, saldo fiskalne, inflacja, stopa procentowa, kurs wymiany i rachunek bieżący) w 87 krajach.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FocusEconomics jest wiodącym dostawcą analiz ekonomicznych i prognoz dla 127 krajów w Afryce, Azji, Europie i obu Amerykach, a także prognoz cenowych dla 30 kluczowych towarów. Firma jest wspierana przez rozległą globalną sieć analityków. Od czasu swojej premiery w 1999 r. FocusEconomics zyskała solidną reputację jako wiarygodne źródło terminowej i dokładnej analizy biznesowej wśród klientów z różnych branż, w tym największych światowych instytucji finansowych, międzynarodowych firm i agencji rządowych.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2025-12-05T22:22:09+01:00</dcterms:created>
  <dcterms:modified xsi:type="dcterms:W3CDTF">2025-12-05T22:22:09+01:00</dcterms:modified>
</cp:coreProperties>
</file>

<file path=docProps/custom.xml><?xml version="1.0" encoding="utf-8"?>
<Properties xmlns="http://schemas.openxmlformats.org/officeDocument/2006/custom-properties" xmlns:vt="http://schemas.openxmlformats.org/officeDocument/2006/docPropsVTypes"/>
</file>