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Analitycy Credit Agricole otrzymali nagrodę Top Forecasters dla najlepszych prognostów makroekonomicznych</w:t>
      </w:r>
    </w:p>
    <w:p>
      <w:pPr>
        <w:spacing w:before="0" w:after="500" w:line="264" w:lineRule="auto"/>
      </w:pPr>
      <w:r>
        <w:rPr>
          <w:rFonts w:ascii="calibri" w:hAnsi="calibri" w:eastAsia="calibri" w:cs="calibri"/>
          <w:sz w:val="36"/>
          <w:szCs w:val="36"/>
          <w:b/>
        </w:rPr>
        <w:t xml:space="preserve">Zespół ekonomistów Credit Agricole otrzymał nagrodę Top Forecasters. Analitycy znaleźli się na trzecim miejscu wśród najlepszych prognostów makroekonomicznych i rynkowych dotyczących Polski. Zajęli także pierwsze miejsce w kategorii najlepszych prognostów kursu EUR/PLN.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Nagrody FocusEconomics Analyst Forecast Awards są wyróżnieniami przyznawanymi co roku dla analityków, którzy zaprezentowali najbardziej trafne prognozy za dany okres. Ekonomiści Credit Agricole w składzie: Jakub Borowski, Krystian Jaworski i Jakub Olipra zwyciężyli pod względem trafności prognoz kursu EUR/PLN oraz uplasowali się na trzecim miejscu w generalnej klasyfikacji przewidywań wskaźników makroekonomicznych i rynkowych dotyczących Polski.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zidentyfikować najlepszych prognostów, jury korzysta z prognoz przesłanych do miesięcznej ankiety w ciągu 24 miesięcy. Przy ocenie dokładności prognozy na 2017 r. PKB, brano pod uwagę prognozy zebrane w okresie od stycznia 2016 r. do grudnia 2017 r. Oceniono dokładność przewidywań przesłanych do prognozy Consensus Forecast według średniej ich zdyskontowanych błędów prognoz. Błędy te definiuje się jako bezwzględną różnicę między indywidualną prognozą a faktycznym wynikiem wskaźnika makroekonomicznego.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Ta nagroda jest dla nas bardzo cenna z dwóch powodów. Po pierwsze, udało nam się uzyskać dobry wynik w warunkach silnej konkurencji ze strony zarówno krajowych, jak i zagranicznych instytucji zajmujących się prognozowaniem sytuacji gospodarczej w Polsce. Po drugie, horyzont prognoz uwzględnianych w rankingu jest zróżnicowany, a uzyskany wynik uwzględnia trafność prognoz formułowanych z niemal dwuletnim wyprzedzeniem. Taki horyzont prognoz jest szczególnie istotny dla klientów korporacyjnych Credit Agricole</w:t>
      </w:r>
      <w:r>
        <w:rPr>
          <w:rFonts w:ascii="calibri" w:hAnsi="calibri" w:eastAsia="calibri" w:cs="calibri"/>
          <w:sz w:val="24"/>
          <w:szCs w:val="24"/>
        </w:rPr>
        <w:t xml:space="preserve"> – komentuje Jakub Borowski, główny ekonomista banku.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Paneliści, którzy wzięli udział w konkursie, musieli złożyć minimalną liczbę prognoz w danym okresie. Rankingi obliczane były według dokładności prognoz dla sześciu głównych wskaźników makroekonomicznych (PKB, saldo fiskalne, inflacja, stopa procentowa, kurs wymiany i rachunek bieżący) w 87 krajach.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FocusEconomics jest wiodącym dostawcą analiz ekonomicznych i prognoz dla 127 krajów w Afryce, Azji, Europie i obu Amerykach, a także prognoz cenowych dla 30 kluczowych towarów. Firma jest wspierana przez rozległą globalną sieć analityków. Od czasu swojej premiery w 1999 r. FocusEconomics zyskała solidną reputację jako wiarygodne źródło terminowej i dokładnej analizy biznesowej wśród klientów z różnych branż, w tym największych światowych instytucji finansowych, międzynarodowych firm i agencji rządowych.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2026-10-27T11:52:47+01:00</dcterms:created>
  <dcterms:modified xsi:type="dcterms:W3CDTF">2026-10-27T11:52:47+01:00</dcterms:modified>
</cp:coreProperties>
</file>

<file path=docProps/custom.xml><?xml version="1.0" encoding="utf-8"?>
<Properties xmlns="http://schemas.openxmlformats.org/officeDocument/2006/custom-properties" xmlns:vt="http://schemas.openxmlformats.org/officeDocument/2006/docPropsVTypes"/>
</file>