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Zarabiaj na zielonej gospodarce z Credit Agricole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Bank Credit Agricole rozpoczyna kolejną subskrypcję ubezpieczenia z opcją inwestycyjną. Oferta strukturyzowana „EkoZysk II” pozwala inwestować w firmy z sektora zielonej gospodarki oraz pozwala osiągnąć zysk niezależnie od koniunktury na giełdzie.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EkoZysk II to indywidualne ubezpieczenie na życie i dożycie z ubezpieczeniowym funduszem kapitałowym. Z jednej strony daje ochronę ubezpieczeniową na życie, a z drugiej możliwość zysku na wzroście indeksu który gromadzi spółki rozwijające technologie przyjazne środowisku </w:t>
      </w:r>
      <w:r>
        <w:rPr>
          <w:rFonts w:ascii="calibri" w:hAnsi="calibri" w:eastAsia="calibri" w:cs="calibri"/>
          <w:sz w:val="24"/>
          <w:szCs w:val="24"/>
        </w:rPr>
        <w:t xml:space="preserve">- wyjaśnia Tomasz Wyłuda, dyrektor Biura Doradztwa Inwestycyjnego w Credit Agricole.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Produkt gwarantuje pełną ochronę zainwestowanej składki. Po czterech latach inwestycji, na koniec okresu ubezpieczenia, klient otrzyma wyższą wartość spośród dwóch następujących wariantów: albo 103% zainwestowanego kapitału albo 100% średniej ze wzrostu indeksu bazowego.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– Jeśli indeks nigdy nie wzrośnie, to klient i tak może dostać więcej pieniędzy, niż wkładał kupując ten produkt. A jeśli koniunktura na giełdzie będzie dobra i indeks będzie rósł, to zysk będzie znacznie większy. Musimy jednak pamiętać, że każda inwestycja, związana jest z ryzykiem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dlatego warto dywersyfikować swój portfel inwestycyjny</w:t>
      </w:r>
      <w:r>
        <w:rPr>
          <w:rFonts w:ascii="calibri" w:hAnsi="calibri" w:eastAsia="calibri" w:cs="calibri"/>
          <w:sz w:val="24"/>
          <w:szCs w:val="24"/>
        </w:rPr>
        <w:t xml:space="preserve"> – zachęca Tomasz Wyłuda.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Wyniki produktu „EkoZysk II” obliczane będą na podstawie indeksu MSCI Europe Select Green 50 5% Decrement, który reprezentuje europejskie spółki z szeroko rozumianego sektora „zielonej gospodarki”, m.in. Vestas Wind Systems, Peugeot, Skanska AB, Neste Corporation.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Zielona gospodarka wpływa na wzrost dobrobytu ludzi i równości społecznej, jednocześnie redukując zagrożenia środowiska naturalnego i niedobór zasobów naturalnych. W Credit Agricole przykładamy ogromną wagę do ochrony środowiska i dlatego wspieramy wszelkie inicjatywy, które wspomagają rozwój czystych i nowoczesnych technologii. Stąd pomysł na produkt finansowy, który dzięki swojej atrakcyjnej ofercie, może być równocześnie skutecznym narzędziem do zmieniania świata na lepszy</w:t>
      </w:r>
      <w:r>
        <w:rPr>
          <w:rFonts w:ascii="calibri" w:hAnsi="calibri" w:eastAsia="calibri" w:cs="calibri"/>
          <w:sz w:val="24"/>
          <w:szCs w:val="24"/>
        </w:rPr>
        <w:t xml:space="preserve"> – przekonuje Tomasz Wyłuda.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Subskrypcja oferty „EkoZysk II” otwarta jest przez siedem tygodni w okresie od 28 stycznia do 15 marca 2019 r. Minimalna kwota wpłaty wynosi 3 tys. zł, maksymalna 1,02 mln zł. Opłata początkowa wynosi 2 proc. co oznacza, że 98 proc. środków wpłaconych przez klienta jest inwestowanych. Całkowity czas inwestycji wynosi 4 lata i 42 dni.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Bank Credit Agricole przypomina, że inwestowanie wiąże się z ryzykiem rynkowym. Szczegółowy opis wszystkich ryzyk związanych z produktem znajduje się w dokumencie zawierającym kluczowe informacje (KID), Warunkach Finansowych – Regulaminie UFK, Broszurze MiFID oraz Karcie Produktu, które są dostępne na stronie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www.credit-agricole.pl</w:t>
        </w:r>
      </w:hyperlink>
      <w:r>
        <w:rPr>
          <w:rFonts w:ascii="calibri" w:hAnsi="calibri" w:eastAsia="calibri" w:cs="calibri"/>
          <w:sz w:val="24"/>
          <w:szCs w:val="24"/>
        </w:rPr>
        <w:t xml:space="preserve"> oraz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www.ca-ubezpieczenia.pl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credit-agricole.pl" TargetMode="External"/><Relationship Id="rId8" Type="http://schemas.openxmlformats.org/officeDocument/2006/relationships/hyperlink" Target="http://www.ca-ubezpieczeni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2026-04-28T01:45:06+02:00</dcterms:created>
  <dcterms:modified xsi:type="dcterms:W3CDTF">2026-04-28T01:45:06+02:00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