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wzmacnia swoją pozycję w segmencie kredytów hipotecznych</w:t>
      </w:r>
    </w:p>
    <w:p>
      <w:pPr>
        <w:spacing w:before="0" w:after="500" w:line="264" w:lineRule="auto"/>
      </w:pPr>
      <w:r>
        <w:rPr>
          <w:rFonts w:ascii="calibri" w:hAnsi="calibri" w:eastAsia="calibri" w:cs="calibri"/>
          <w:sz w:val="36"/>
          <w:szCs w:val="36"/>
          <w:b/>
        </w:rPr>
        <w:t xml:space="preserve">Bank Credit Agricole wzmacnia swoją pozycję w segmencie kredytów hipotecznych. Z początkiem października w strukturze banku powołany został Departament Kredytów Hipotecznych, a jego pierwszą dyrektorką została Helena Kamińska, która dołączyła do banku w wyniku rekrutacji zewnętrznej.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Helena Kamińska związana jest z sektorem finansowym od ponad 20 lat. Łączy strategiczne myślenie z praktycznym podejściem do zarządzania. Pełniła kluczowe role menedżerskie i zarządcze, m.in. w Grupie Getin Noble Bank jako dyrektor zarządzająca obszarem kredytów hipotecznych oraz w domu maklerskim, TFI i spółkach dystrybucyjnych.</w:t>
      </w:r>
    </w:p>
    <w:p>
      <w:r>
        <w:rPr>
          <w:rFonts w:ascii="calibri" w:hAnsi="calibri" w:eastAsia="calibri" w:cs="calibri"/>
          <w:sz w:val="24"/>
          <w:szCs w:val="24"/>
        </w:rPr>
        <w:t xml:space="preserve"> </w:t>
      </w:r>
    </w:p>
    <w:p>
      <w:r>
        <w:rPr>
          <w:rFonts w:ascii="calibri" w:hAnsi="calibri" w:eastAsia="calibri" w:cs="calibri"/>
          <w:sz w:val="24"/>
          <w:szCs w:val="24"/>
        </w:rPr>
        <w:t xml:space="preserve"> Specjalizuje się w przeprowadzaniu organizacji przez wymagające procesy transformacji operacyjnych i technologicznych. Przez ostatnie lata była konsultantką w międzynarodowych projektach, w których pomagała firmom zwiększać efektywność i wdrażać innowacyjne rozwiązania IT.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Swoją wiedzę opiera na solidnej edukacji oraz ciągłym rozwoju. Jest absolwentką Szkoły Głównej Handlowej w Warszawie, ma tytuł Executive MBA, wykształcenie z zakresu prawa spółek oraz prestiżowy certyfikat INSEAD Strategy and Finance. Jako liderka wierzy, że największą wartością każdej organizacji są ludzie. Zbudowane przez nią zespoły bazowały na otwartości, wzajemnym szacunku i autentyczności.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Strategiczny plan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Zmiany w strukturze banku i wzmocnienie pozycji segmentu kredytów mieszkaniowych wynikają wprost ze Strategii 2028, która przewiduje wzrost udziału banku w rynku hipotek.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Kredyty mieszkaniowe są jednym z najważniejszych produktów jakie wiążą klientów z bankiem. Dlatego chcemy oferować dobry produkt i przyjazny, prosty proces, który będzie atrakcyjny dla wszystkich naszych obecnych klientów, ale także pozwoli nam nawiązywać relacje z nowymi klientami. Mamy ambitny plan zwiększenia udziałów rynkowych w tym produkcie i krok po kroku konsekwentnie go realizujemy – mówi Louis Henri Groussier, wiceprezes zarządu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Zdalny wniosek, szybsza analiza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zeszłego roku klienci banku mogą złożyć wniosek o kredyt hipoteczny online, bez wychodzenia z domu. Dzięki zdalnemu procesowi większość formalności można załatwić wygodnie przez internet, korzystając jednocześnie ze wsparcia doradców banku. Oprócz tego bank znacząco usprawnił etap analiz finansowych oraz uruchomił nowy kanał pośrednictwa (brokerzy ANG i Expander). Obecnie przygotowywane są rozwiązania informatyczne, które pozwolą na pełną automatyzację i cyfryzację udzielania kredytów mieszkaniowych.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Dotychczasowe działania przynoszą już pozytywne efekty - rośnie dynamika sprzedaży a wartość portfela kredytów hipotecznych osiągnęła rekordowy poziom. Wysiłki banku zauważane są w rankingach branżowych. W prestiżowym badaniu Instytucja Roku Credit Agricole zajął drugie miejsce w kategorii najlepszej obsługi hipotecznej w placówce i drugie miejsce za najlepszą zdalną obsługę hipoteczną.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2026-10-08T13:11:59+02:00</dcterms:created>
  <dcterms:modified xsi:type="dcterms:W3CDTF">2026-10-08T13:11:59+02:00</dcterms:modified>
</cp:coreProperties>
</file>

<file path=docProps/custom.xml><?xml version="1.0" encoding="utf-8"?>
<Properties xmlns="http://schemas.openxmlformats.org/officeDocument/2006/custom-properties" xmlns:vt="http://schemas.openxmlformats.org/officeDocument/2006/docPropsVTypes"/>
</file>