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pożyczasz, tyle oddajesz – Credit Agricole uruchamia Powitalny kredyt gotówkowy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przygotował ofertę specjalną dla klientów, którzy chcieliby skorzystać z kredytu gotówkowego. Dzięki nowej ofercie klienci mogą pożyczyć gotówkę bez ponoszenia jakichkolwiek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powstała z myślą o nowych klientach oraz wszystkich tych, którzy do tej pory nie korzystali z kredytów konsumpcyjnych w Credit Agricole. To rozwiązanie pozwala wesprzeć domowy budżet zupełnie bezkosztowo – warunki oferty to: 0% prowizji, 0% oprocentowania i brak konieczności przystąpienia do ubezpieczenia, czyli RRSO równe 0%. Klient oddaje więc dokładnie tyle, ile pożyczył.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3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by „Powitalny kredyt gotówkowy” uczynić maksymalnie atrakcyjnym </w:t>
      </w:r>
      <w:r>
        <w:rPr>
          <w:rFonts w:ascii="calibri" w:hAnsi="calibri" w:eastAsia="calibri" w:cs="calibri"/>
          <w:sz w:val="24"/>
          <w:szCs w:val="24"/>
        </w:rPr>
        <w:t xml:space="preserve">– mówi Łukasz Łęczycki, senior product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roku to czas, w którym często ponosimy wiele wydatków, np. by realizować noworoczne postanowienia czy zorganizować zimowy wyjazd. Kredyt bez dodatkowych kosztów może znacznie ułatwić wprowadzenie takich planów w życie </w:t>
      </w:r>
      <w:r>
        <w:rPr>
          <w:rFonts w:ascii="calibri" w:hAnsi="calibri" w:eastAsia="calibri" w:cs="calibri"/>
          <w:sz w:val="24"/>
          <w:szCs w:val="24"/>
        </w:rPr>
        <w:t xml:space="preserve">– tłumaczy Łęczycki.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„Powitalnego kredytu gotówkowego” może podpisać każdy klient, który nie był stroną zawartej z Bankiem umowy o produkt kredytowy: kredytu gotówkowego, kredytu konsolidacyjnego, kredytu ratalnego albo karty kredytowej. Maksymalna kwota pożyczki w ofercie powitalnej wynosi 3 tysiące złotych, a maksymalny okres spłaty wynosi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są zainteresowani wyższą kwotą lub dłuższym okresem kredytowania, również znajdą w naszej ofercie atrakcyjne propozycje. Nasi doradcy pomogą im wybrać rozwiązania, które będą najlepiej odpowiadać na ich wszystkie potrzeby</w:t>
      </w:r>
      <w:r>
        <w:rPr>
          <w:rFonts w:ascii="calibri" w:hAnsi="calibri" w:eastAsia="calibri" w:cs="calibri"/>
          <w:sz w:val="24"/>
          <w:szCs w:val="24"/>
        </w:rPr>
        <w:t xml:space="preserve"> – zapewnia Łęczycki.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bankowych, placówkach partnerskich, placówkach CA Express oraz za pośrednictwem serwisu telefonicznego CA24. Można z niej skorzystać do 31 marca.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