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Zapłać kartą i rozłóż spłatę na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uruchomił nową kampanię reklamującą karty kredytowe z możliwością spłaty zadłużenia w ratach 0%. To najwygodniejsza forma dokonywania zakupów na raty przed świętami.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kartę kredytową w okresie kampanii, czyli od 01.12 do 31.01, zyskują podwójnie: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zakupy płacą mniej dzięki dedykowanym ofertom promocyjnym w Klubie Rabatowym – m.in. 50 zł w Zalando, Douglas czy CoffeeDesk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wskazaną kwotę (min. 300 zł) za dowolne zakupy wykonane kartą mogą rozłożyć na raty 0%. Do wyboru mają: 3,6 lub 12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jest idealnym rozwiązaniem na zimowy okres, w którym – jak wiadomo – trzeba się liczyć z wieloma wydatkami takimi, jak zakup prezentów czy kreacji sylwestrowej. Dodatkowe środki pod ręką zawsze się przydadzą, zwłaszcza że można ją oddać w ratach 0% bez ponoszenia dodatkowych kosztów. Nieważne kiedy i gdzie zrobimy zakupy – jeżeli zapłacimy za nie karta kredytową wystarczy jeden telefon lub wizyta w placówce aby rozłożyć je na raty, bez zbędnych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takich zalet liczba kart spada i dziś w obiegu rynkowym jest ich nieco ponad 6 milionów (w rekordowym 2009 r. było ponad 11 mln). Największe spadki spowodował światowy kryzys gospodarczy w latach 2007-09, który pogorszył sytuację finansową wielu klientów ograniczając dostęp do kredytów i zmusił ich m.in do rezygnacji z korzystania z karty kredytowej. Swoje dołożyła także Komisja Nadzoru Finansowego, która 2010 r. zaostrzyła kryteria badania zdolności kredytowej przez banki, co dotknęło również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Credit Agricole pozostaje jednym z największych wydawców kart kredytowych w Polsce (4. miejsce, 699 tys. wydanych kart w obiegu) i aktywnie wspiera i promuje ich wykorzystanie.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wierzymy, że jest to jeden z najbezpieczniejszych i najwygodniejszych instrumentów płatniczych. Nawet jeśli nie w tradycyjnej formie plastikowej, to jako aplikacja w telefonie (HCE, Android Pay etc) wciąż jest chętnie wykorzystywana w codziennym życiu</w:t>
      </w:r>
      <w:r>
        <w:rPr>
          <w:rFonts w:ascii="calibri" w:hAnsi="calibri" w:eastAsia="calibri" w:cs="calibri"/>
          <w:sz w:val="24"/>
          <w:szCs w:val="24"/>
        </w:rPr>
        <w:t xml:space="preserve"> - przekonuje Adam Budziłek, z Departamentu Zarządzania Kartami Kredytowymi i Alternatywnymi Płatnościami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statystyki wskazują, że z każdym kwartałem transakcyjność kartami kredytowymi rośnie od 2 do 5 proc. co oznacza, że jeśli już ktoś ma ją w portfelu, to zdecydowanie chętnie jej używa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Noworoczna kampania kart kredytowych 0% realizowana jest w całej Polsce na witrynach, plakatach, ulotkach i bankomatach wewnątrz placówek oraz poprzez komunikację bezpośrednią do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2026-06-09T05:55:01+02:00</dcterms:created>
  <dcterms:modified xsi:type="dcterms:W3CDTF">2026-06-09T05:55:01+02:00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