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13 listopada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Zadanie konkursowe jest dosyć proste. Wystarczy, że nasi klienci pokażą nam, na co chcą przeznaczyć pieniądze z kredytu.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to zrobić w formie zdjęcia,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kolażu, projektu graficznego, animacji czy rys</w:t>
      </w:r>
      <w:r>
        <w:rPr>
          <w:rFonts w:ascii="calibri" w:hAnsi="calibri" w:eastAsia="calibri" w:cs="calibri"/>
          <w:sz w:val="24"/>
          <w:szCs w:val="24"/>
        </w:rPr>
        <w:t xml:space="preserve">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Wszyscy laureaci otrzymają w nagrodę nowoczesny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 Galaxy A40</w:t>
      </w:r>
      <w:r>
        <w:rPr>
          <w:rFonts w:ascii="calibri" w:hAnsi="calibri" w:eastAsia="calibri" w:cs="calibri"/>
          <w:sz w:val="24"/>
          <w:szCs w:val="24"/>
        </w:rPr>
        <w:t xml:space="preserve">. Dzięki niemu będą mogli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2026-02-20T20:57:54+01:00</dcterms:created>
  <dcterms:modified xsi:type="dcterms:W3CDTF">2026-02-20T20:57:54+01:00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