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w czołówce banków z największym przyrostem kont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Blisko 100 tys. nowych kont otwartych zostało w Credit Agricole w I półroczu bieżącego roku. To trzeci najlepszy wynik wśród wszystkich polskich banków.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Portal Bankier.pl sprawdził, w których bankach przybyło najwięcej rachunków osobistych w pierwszym półroczu 2023 roku. Bank Credit Agricole zajmuje w tym zestawieniu trzecie miejsce z przyrostem 96 tys. kont. Lepszy wynik uzyskały jedynie: PKO BP i Pekao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jest natomiast bezwzględnym liderem pod względem liczby przyrostu rachunków przenoszonych między bankami. W pierwszej połowie roku aż 75 proc. wniosków o przeniesienie dotyczyło chęci zmiany właśnie na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aby przenieść konto, wystarczy złożyć wniosek w dowolnej placówce banku Credit Agricole. Wniosek można też znaleźć i złozyć w serwisie CA24 eBank.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Przeprowadzamy za klienta wszystkie czynności, w tym: wypowiedzenie umowy w dotychczasowym banku, transfer wszystkich płatności, poinformowanie zakładu pracy, ZUS czy urzędu skarbowego. Wszystko trwa najwyżej kilka dni - zachęca Anita Krupa, Segment Manager.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Wszystkim chętnym, którzy chcą przenieść konto do Credit Agricole, bank aktualnie proponuje premię w wysokości do 400 zł (promocja trwa do 31 października).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2025-04-23T18:46:26+02:00</dcterms:created>
  <dcterms:modified xsi:type="dcterms:W3CDTF">2025-04-23T18:46:26+02:00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