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uczestnikiem trzeciej edycji programu Climate Leadership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trzeciej edycji ogólnopolskiego programu Climate Leadership, który wspiera firmy w działaniach zmierzających do zmniejszenia negatywnego wpływu na klimat i środowisko. W ramach programu bank będzie pracować z ekspertami nad redukcją śladu węglowego i edukacją ESG.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Leadership wspiera firmy we wdrażaniu zmian, dzięki którym będą realizowały spójną strategię zrównoważonego rozwoju. Zmiany te są odpowiedzią na kryzys klimatyczny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zagrożenia, które są z nim związane. Członkowie programu podejmują akcje, które zmniejszają negatywny wpływ biznesu na środowisko. Partnerstwo łączy biznes, administrację publiczną, organizacje społeczne i środowiska naukowe.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możemy uczestniczyć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programie Climate Leadership. To kolejny krok, który wesprze nas w realizacji naszej strategii klimatycznej. W lipcu 2021 r. razem z całą Grupą Crédit Agricole dołączyliśmy do programu Net-Zero Banking Alliance, powołanego przez Inicjatywę Finansową Programu Narodów Zjednoczonych ds. Środowiska (UNEP FI) i zobowiązaliśmy się do osiągnięcia neutralności klimatycznej do 2050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ambitny plan, nad którym trzeba pracować już teraz.</w:t>
      </w:r>
      <w:r>
        <w:rPr>
          <w:rFonts w:ascii="calibri" w:hAnsi="calibri" w:eastAsia="calibri" w:cs="calibri"/>
          <w:sz w:val="24"/>
          <w:szCs w:val="24"/>
        </w:rPr>
        <w:t xml:space="preserve"> – podkreśla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bank będzie pracować z ekspertami nad redukowaniem i kompensacją śladu węglowego i edukacją ESG.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od trzech lat liczymy nasz ślad węglowy wg najbardziej znanego standardu GHG Protocol i realizujemy różne inicjatywy, które go zmniejszają. Uczestnictwo w programie Climate Leadership pozwoli nam usprawnić redukcję emisji bezpośredniego śladu węglowego oraz pomoże zaplanować działania kompensacyjne.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szczególności cenimy sobie współpracę z ekspertami, z którymi będziemy mogli omówić konkretne wyzwania, bariery i możliwości związane z realizacją projektu – </w:t>
      </w:r>
      <w:r>
        <w:rPr>
          <w:rFonts w:ascii="calibri" w:hAnsi="calibri" w:eastAsia="calibri" w:cs="calibri"/>
          <w:sz w:val="24"/>
          <w:szCs w:val="24"/>
        </w:rPr>
        <w:t xml:space="preserve">tłumaczy Paweł Buchman, dyrektor zarządzający zintegrowanymi usługami generalnymi w Credit Agricole, odpowiedzialny za bezpośredni wpływ banku na środowisko, w tym kalkulację śladu węglowego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z działalności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programu Climate Leadership są Maria Andrzejewska, dyrektorka generalna Centrum UNEP/GRID-Warszawa, które zajmuje się pozyskiwaniem, przetwarzaniem i udostępnianiem informacjio środowisku oraz prof. Bolesław Rok z Akademii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Związane z Centrum UNEP/GRID-Warszawa szerokie grono specjalistów i liderów opinii dzieli się swoją wiedzą i doświadczeniem z firmami. W pracę programu zaangażowanych jest ponad stu ekspertów, którzy zajmują się różnymi obszarami, np. bezpieczeństwem żywnościowym, ochroną bioróżnorodności czy zrównoważonym finansowaniem.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Climate Leadership daje szansę na współtworzenie społeczności liderów na rzecz neutralności klimatycznej. Jego członkowie mają również większe szanse osiągania wyznaczonych zobowiązań na rzecz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2026-01-25T19:55:13+01:00</dcterms:created>
  <dcterms:modified xsi:type="dcterms:W3CDTF">2026-01-25T19:55:13+01:00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