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Credit Agricole wspiera szpital zakaźny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Credit Agricole w Polsce dołącza do akcji #graMydlaKOSZAROWEJ. Bank Credit Agicole, wspólnie ze spółkami EFL, CA Ubezpieczenia oraz Amundi Polska sfinansują zakup pomp infuzyjnych dla Wojewódzkiego Szpitala Specjalistycznego przy ul. Koszarowej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Wojewódzki Szpital Specjalistyczny przy ul. Koszarowej we Wrocławiu, który na czas walki z pandemią koronawirusa stał się szpitalem zakaźnym – jednoimiennym, jest wiodącym na Dolnym Śląsku ośrodkiem leczenia chorób zakaźnych. To do niego trafiają z całego regionu pacjenci zakażeni koronawirusem. Jak w wielu innych szpitalach, także i w tym brakuje specjalistycznego sprzętu oraz podstawowych środków ochrony dla personelu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uzupełnić te braki, spółki Grupy Credit Agricole postanowiły przyłączyć się do zbiórki #graMYdlaKOSZAROWEJ, zorganizowanej przez klub siatkarski KFC Gwardia Wrocław we współpracy z innymi wrocławskimi klubami sportowymi. Zbiórka prowadzona jest za zgodą dyrektora naczelnego szpitala przy ul. Koszarowej Janusza Jerzaka i pod patronatem prezydenta Wrocławia Jacka Sutryka.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grupą spółek wywodzących się z Wrocławia i dlatego uznaliśmy, że wsparcie lokalnego centrum walki z epidemią koronawirusa będzie najbardziej efektywne. Choroba w każdej chwili może dotknąć każdego z nas. A od jakości wyposażenia tej placówki w dużej mierze zależy skuteczność leczenia. Nasze wsparcie dla szpitala jest więc wyrazem wsparcia dla całej społeczności Wrocławia i Dolnego Śląska</w:t>
      </w:r>
      <w:r>
        <w:rPr>
          <w:rFonts w:ascii="calibri" w:hAnsi="calibri" w:eastAsia="calibri" w:cs="calibri"/>
          <w:sz w:val="24"/>
          <w:szCs w:val="24"/>
        </w:rPr>
        <w:t xml:space="preserve"> - mówi Jean-Bernard Mas, Senior Country Officer Grupy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porozumieniu z dyrekcją szpitala, Grupa Credit Agricole sfinansuje zakup 42 pomp infuzyjnych - urządzeń stosowanych do ciągłego lub cyklicznego, dokładnego dawkowania leków. Pompy te będą wykorzystywane przede wszystkim na stanowiskach respiratorowych na oddziale intensywnej opieki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przekazania publicznej darowizny, bank i pozostałe spółki grupy, zachęcają swoich pracowników, a także wszystkich mieszkańców Wrocławia i Dolnego Śląska, do prywatnych datków na rzecz szpitala. Wpłat dokonywać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www.zrzutka.pl/gramydlakoszarowej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prowadzona jest do 11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Credit Agricole, EFL, CA Ubezpieczenia i Amundi Polska, darowizny dla szpitala w ramach akcji #graMYdlaKOSZAROWEJ przekazały również firmy: RAWLPLUG, Grupa Impel, TEAM, Kruk.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rzutka.pl/gramydlakoszar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2026-09-19T08:18:23+02:00</dcterms:created>
  <dcterms:modified xsi:type="dcterms:W3CDTF">2026-09-19T08:18:23+02:00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