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Credit Agricole wspiera szpital zakaźny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dołącza do akcji #graMydlaKOSZAROWEJ. Bank Credit Agicole, wspólnie ze spółkami EFL, CA Ubezpieczenia oraz Amundi Polska sfinansują zakup pomp infuzyjnych dla Wojewódzkiego Szpitala Specjalistycznego przy ul. Koszarowej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Szpital Specjalistyczny przy ul. Koszarowej we Wrocławiu, który na czas walki z pandemią koronawirusa stał się szpitalem zakaźnym – jednoimiennym, jest wiodącym na Dolnym Śląsku ośrodkiem leczenia chorób zakaźnych. To do niego trafiają z całego regionu pacjenci zakażeni koronawirusem. Jak w wielu innych szpitalach, także i w tym brakuje specjalistycznego sprzętu oraz podstawowych środków ochrony dla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te braki, spółki Grupy Credit Agricole postanowiły przyłączyć się do zbiórki #graMYdlaKOSZAROWEJ, zorganizowanej przez klub siatkarski KFC Gwardia Wrocław we współpracy z innymi wrocławskimi klubami sportowymi. Zbiórka prowadzona jest za zgodą dyrektora naczelnego szpitala przy ul. Koszarowej Janusza Jerzaka i pod patronatem prezydenta Wrocławia Jacka Sutryka.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grupą spółek wywodzących się z Wrocławia i dlatego uznaliśmy, że wsparcie lokalnego centrum walki z epidemią koronawirusa będzie najbardziej efektywne. Choroba w każdej chwili może dotknąć każdego z nas. A od jakości wyposażenia tej placówki w dużej mierze zależy skuteczność leczenia. Nasze wsparcie dla szpitala jest więc wyrazem wsparcia dla całej społeczności Wrocławia i Dolnego Śląska</w:t>
      </w:r>
      <w:r>
        <w:rPr>
          <w:rFonts w:ascii="calibri" w:hAnsi="calibri" w:eastAsia="calibri" w:cs="calibri"/>
          <w:sz w:val="24"/>
          <w:szCs w:val="24"/>
        </w:rPr>
        <w:t xml:space="preserve"> - mówi Jean-Bernard Mas, Senior Country Officer Grupy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porozumieniu z dyrekcją szpitala, Grupa Credit Agricole sfinansuje zakup 42 pomp infuzyjnych - urządzeń stosowanych do ciągłego lub cyklicznego, dokładnego dawkowania leków. Pompy te będą wykorzystywane przede wszystkim na stanowiskach respiratorowych na oddziale intensywnej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przekazania publicznej darowizny, bank i pozostałe spółki grupy, zachęcają swoich pracowników, a także wszystkich mieszkańców Wrocławia i Dolnego Śląska, do prywatnych datków na rzecz szpitala. Wpłat dokonywać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www.zrzutka.pl/gramydlakoszarowej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Credit Agricole, EFL, CA Ubezpieczenia i Amundi Polska, darowizny dla szpitala w ramach akcji #graMYdlaKOSZAROWEJ przekazały również firmy: RAWLPLUG, Grupa Impel, TEAM, Kruk.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rzutka.pl/gramydlakosza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2026-01-26T05:36:02+01:00</dcterms:created>
  <dcterms:modified xsi:type="dcterms:W3CDTF">2026-01-26T05:36:02+01:00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