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nagrodzony Białym Listkiem ESG POLITYKI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został wyróżniony Białym Listkiem ESG POLITYKI w jednym z najważniejszych konkursów związanych z odpowiedzialnością biznesu i zrównoważonym rozwojem w Polsce. To czwarta nagroda banku w postaci Listka.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zdobył Biały Listek ESG POLITYKI. Tym samym należy do jednego z czterech nagrodzonych banków w tegorocznej edycji. Wyróżnienie w postaci Białego Listka otrzymują firmy, które wdrażają najistotniejsze kategorie zarządcze rekomendowane przez normę ISO 26000 oraz stale doskonalą swoje działania w tym zakresie na rzecz efektywnego zarządzania wpływem swojej firmy na otoczenie. Podczas VII już Gali Listków ESG POLITYKI nagrodzonych zostało 56 firm. W tym roku ważnym czynnikiem, które rozpatrywało jury, były ujawnienia związane z bioróżnorodnością. Ponadto, wyróżnione firmy są zobowiązane do regularnego raportowania swoich działań w obszarze danych niefinansowych lub w zintegrowanych raportach zgodnych z międzynarodowymi standardami ujawniania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Biały Listek POLITYKI to dla nas wyróżnienie, które podkreśla znaczenie zrównoważonego rozwoju i kwestii ESG w naszej strategii biznesowej. Cieszymy się, że nasz wysiłek w wypełnianie zobowiązań naszych interesariuszy został doceniony. Jednocześnie mamy świadomość, że odpowiedzialne prowadzenie biznesu wymaga ciągłego doskonalenia się, by adaptować się do zmieniających się standardów i oczekiwań otoczenia. </w:t>
      </w:r>
      <w:r>
        <w:rPr>
          <w:rFonts w:ascii="calibri" w:hAnsi="calibri" w:eastAsia="calibri" w:cs="calibri"/>
          <w:sz w:val="24"/>
          <w:szCs w:val="24"/>
        </w:rPr>
        <w:t xml:space="preserve"> - podkreśla Ewa Deperas-Jarczewska, dyrektorka Zespołu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organizatorzy zmienili nazwę zestawienia na Listki ESG POLITYKI, co odzwierciedla szersze spojrzenie na odpowiedzialne i zrównoważone działania firm w obrębie ochrony środowiska, odpowiedzialności społecznej i ładu korporacyjnego. Credit Agricole uczestniczy w nim prawie od początku, bo od 2012 r. Aby wziąć udział w zestawieniu, firmy musiały wypełnić ankietę opracowaną na podstawie wytycznych normy ISO 26000. Pytania podzielone zostały na siedem obszarów tematycznych: zarządzanie i ład organizacyjny, prawa człowieka, miejsce pracy i rozwój pracownika, ochrona środowiska naturalnego, uczciwa praktyka biznesowa, konsumenci i rynek oraz zaangażowanie społeczne i wkład w rozwój społeczności lokalnej.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merytorycznymi Listków CSR POLITYKI są: firma doradcza Deloitte oraz Forum Odpowiedzialnego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również laureatem XVII Rankingu Odpowiedzialnych Firm (ROF), w którym zajął 2. miejsce w klasyfikacji generalnej i branżowej.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2026-10-14T05:13:12+02:00</dcterms:created>
  <dcterms:modified xsi:type="dcterms:W3CDTF">2026-10-14T05:13:12+02:00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