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kart kredytowych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odświeża wizerunek swoich kart kredytowych i zachęca klientów do wykorzystywania wszystkich funkcji tego instrumentu: odnawialnego limitu kredytowego, spłaty w systemie ratalnym oraz zniżek w Klubie Rabatowym.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karty mają bardzo nowoczesny, minimalistyczny design - eleganckie czarne tło i duży kolorowy napis oznaczający rodzaj karty: Classic (Standard), Silver lub Gold. – Klientom bardzo się podobają. W pierwszym dniu dostępności nowych wzorów sprzedaliśmy rekordową liczbę ponad 1200 kart – mówi Piotr Dwornik, dyrektor Departamentu zarządzania kartami kredytowymi i alternatywnymi płatnościami w Credit Agricole. – Liczymy, że nowy wizerunek kart zyska stałą sympatię naszych klientów i zachęci ich do aktywnego korzystania ze wszystkich funkcji jakie oferujemy.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banku mogą wybrać kartę kredytową w nowej odsłonie w jednym z trzech dostępnych wariantów: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karta kredytowa Classic</w:t>
      </w:r>
      <w:r>
        <w:rPr>
          <w:rFonts w:ascii="calibri" w:hAnsi="calibri" w:eastAsia="calibri" w:cs="calibri"/>
          <w:sz w:val="24"/>
          <w:szCs w:val="24"/>
        </w:rPr>
        <w:t xml:space="preserve"> (wcześniej Standard), idealna dla tych, którzy cenią sobie niezależność w operowaniu gotówką. Można ją otrzymać już od 500 zł dochodu, a zadłużenie można rozłożyć na wygodne raty. Limit to nawet 10 000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Kolejny wariant to: </w:t>
      </w:r>
      <w:r>
        <w:rPr>
          <w:rFonts w:ascii="calibri" w:hAnsi="calibri" w:eastAsia="calibri" w:cs="calibri"/>
          <w:sz w:val="24"/>
          <w:szCs w:val="24"/>
          <w:b/>
        </w:rPr>
        <w:t xml:space="preserve">karta kredytowa Silver</w:t>
      </w:r>
      <w:r>
        <w:rPr>
          <w:rFonts w:ascii="calibri" w:hAnsi="calibri" w:eastAsia="calibri" w:cs="calibri"/>
          <w:sz w:val="24"/>
          <w:szCs w:val="24"/>
        </w:rPr>
        <w:t xml:space="preserve">, która świetnie sprawdzi się w portfelu podróżników i do użytku na co dzień. Wystarczy dochód już od 1 400 zł i transakcje na kwotę min 400 zł w miesiącu, a klient zapłaci 0 zł za obsługę rachunku karty. Do wyboru karta organizacji Visa lub Mastercard.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Ostatnia z dostępnych opcji to </w:t>
      </w:r>
      <w:r>
        <w:rPr>
          <w:rFonts w:ascii="calibri" w:hAnsi="calibri" w:eastAsia="calibri" w:cs="calibri"/>
          <w:sz w:val="24"/>
          <w:szCs w:val="24"/>
          <w:b/>
        </w:rPr>
        <w:t xml:space="preserve">karta kredytowa Gold</w:t>
      </w:r>
      <w:r>
        <w:rPr>
          <w:rFonts w:ascii="calibri" w:hAnsi="calibri" w:eastAsia="calibri" w:cs="calibri"/>
          <w:sz w:val="24"/>
          <w:szCs w:val="24"/>
        </w:rPr>
        <w:t xml:space="preserve"> została stworzona z myślą o większych planach. Można ją uzyskać deklarując co najmniej 3 000 zł dochodu. Dzięki karcie istnieje możliwość skorzystania z darmowego kredytu aż do 56 dni. Do wyboru karta organizacji Visa lub Mastercard.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posiadacze karty kredytowej Credit Agricole mogą korzystać z rabatów sięgających do 55% </w:t>
      </w:r>
      <w:r>
        <w:rPr>
          <w:rFonts w:ascii="calibri" w:hAnsi="calibri" w:eastAsia="calibri" w:cs="calibri"/>
          <w:sz w:val="24"/>
          <w:szCs w:val="24"/>
          <w:b/>
        </w:rPr>
        <w:t xml:space="preserve">w 10 tys. punktów handlowych i usługowych współpracujących z </w:t>
      </w:r>
      <w:r>
        <w:rPr>
          <w:rFonts w:ascii="calibri" w:hAnsi="calibri" w:eastAsia="calibri" w:cs="calibri"/>
          <w:sz w:val="24"/>
          <w:szCs w:val="24"/>
        </w:rPr>
        <w:t xml:space="preserve">Klubem Rabatowym. Trwa również promocja „Sezonowe raty 0% w karcie kredytowej” –klienci, którzy do końca października zdecydują się kupić kartę w banku Credit Agricole, wybraną kwotę za zakupy zrobione w okresie do 30 listopada, będą mogli rozłożyć na raty 0% (minimalna kwota zadłużenia to 300 zł, a by ją rozłożyć na raty wystarczy jeden telefon na infolinię lub wizyta w placówce banku).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promocji i pełna oferta dostępna jest we wszystkich placówkach banku Credit Agricole oraz telefonicznie pod numerem </w:t>
      </w:r>
      <w:r>
        <w:rPr>
          <w:rFonts w:ascii="calibri" w:hAnsi="calibri" w:eastAsia="calibri" w:cs="calibri"/>
          <w:sz w:val="24"/>
          <w:szCs w:val="24"/>
        </w:rPr>
        <w:t xml:space="preserve">19 019</w:t>
      </w:r>
      <w:r>
        <w:rPr>
          <w:rFonts w:ascii="calibri" w:hAnsi="calibri" w:eastAsia="calibri" w:cs="calibri"/>
          <w:sz w:val="24"/>
          <w:szCs w:val="24"/>
        </w:rPr>
        <w:t xml:space="preserve"> (koszt wg stawki operatora).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2026-04-05T21:24:24+02:00</dcterms:created>
  <dcterms:modified xsi:type="dcterms:W3CDTF">2026-04-05T21:24:24+02:00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