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konferencję Coface Country Risk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wtorek 3 października odbędzie się doroczna konferencja Coface Country Risk – Rozpoznawanie ryzyka w niepewnym świecie. Strategicznym partnerem tego wydarzenia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Coface Country Risk odbędzie się już po raz 18. Tematem przewodnim wydarzenia będzie ograniczanie ryzyka w międzynarodowych i krajowych transakcjach handlowych i wspieranie rozwoju polskich przedsiębiorstw w niepewnym otoczeniu. Na początku konferencji Bernard Muselet, pierwszy wiceprezes Credit Agricole wraz z Jarosławem Jaworskim, CEO Coface Central Europe Region podzielą się ze słuchaczami wiedzą na temat największych wyzwań oczami biznesu. W kolejnych debatach i prelekcjach eksperci i ekonomiści skupią się m.in. na mapie ryzyk w prowadzeniu działalności biznesowej, perspektywach gospodarczych, a także roli CSR we współczesnych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bank uniwersalny skutecznie wspieramy rozwój przedsiębiorstw już od wielu lat na polskim rynku. Dzięki wnikliwej analizie rynku, obserwacji tendencji i wskaźników gospodarczych, a także doświadczeniu międzynarodowemu możemy świadczyć usługi finansowe na najwyższym eksperckim poziomie i pomagać firmom dostosować działalność do zmieniających się warunków. Dlatego nie mogło nas zabraknąć podczas konferencji Coface Country Risk jako partnera strategicznego</w:t>
      </w:r>
      <w:r>
        <w:rPr>
          <w:rFonts w:ascii="calibri" w:hAnsi="calibri" w:eastAsia="calibri" w:cs="calibri"/>
          <w:sz w:val="24"/>
          <w:szCs w:val="24"/>
        </w:rPr>
        <w:t xml:space="preserve"> – mówi Frederic Lustig, dyrektor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Coface Country Risk odbędzie się również 40-minutowa prelekcja Jakuba Borowskiego, głównego ekonomisty banku Credit Agricole. W swoim wystąpieniu poruszy on temat wpływu zbliżających się wyborów parlamentarnych na perspektywy sytuacji gospodarczej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Country Risk Conference odbywa się w Polsce już po raz 18, a od 13 lat bank Credit Agricole jest partnerem strategicznym tego wydarzenia. Organizatorem wydarzenia jest COFACE, zajmujący się oceną ryzyka krajów, ubezpieczeniem należności, faktoringiem, informacją gospodarczą i windykacją. Więcej szczegółów pod adresem organizatora konferencji: Country Risk Conference.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 Polsce świadczy klientom korporacyjnym kompletną gamę produktów finasowania handlu w obrocie krajowym i zagranicznym - od gwarancji bankowych, poprzez inkasa eksportowe i importowe, akredytywy importowe i eksportowe, po finansowanie wierzytelności handlowych. Bank udostępnia klientom nowoczesną, przyjazną dla użytkownika aplikację (w ramach bankowości elektronicznej), służącą obsłudze produktów finansowania handlu.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2026-08-04T22:25:15+02:00</dcterms:created>
  <dcterms:modified xsi:type="dcterms:W3CDTF">2026-08-04T22:25:15+02:00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