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Zainwestuj w liderów europejskiej gospodarki i zarabiaj</w:t>
      </w:r>
    </w:p>
    <w:p>
      <w:pPr>
        <w:spacing w:before="0" w:after="500" w:line="264" w:lineRule="auto"/>
      </w:pPr>
      <w:r>
        <w:rPr>
          <w:rFonts w:ascii="calibri" w:hAnsi="calibri" w:eastAsia="calibri" w:cs="calibri"/>
          <w:sz w:val="36"/>
          <w:szCs w:val="36"/>
          <w:b/>
        </w:rPr>
        <w:t xml:space="preserve">Bank Credit Agricole rozpoczyna subskrybcję nowego ubezpieczenie na życie i dożycie z opcją inwestycyjną. Oferta "30 Europejskich Liderów" gwarantuje pełną ochronę zainwestowanej składki i możliwość osiągnięcia wysokiej stopy zwrotu po trzech latach okresu ubezpieczenia.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produkt opiera się na indeksie STOXX Europe ESG Leaders Select 30, w skład którego wchodzą europejskie spółki o zasięgu ogólnoświatowym, m.in.: Deutsche Telekom, BMW czy Zurich Insurance Group. Firmy te cechują się stabilnymi przychodami i głęboką troską o zrównoważony rozwój (środowisko, społeczna odpowiedzialność i ład korporacyjny).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"30 Europejskich Liderów" to inwestycja w czołowe spółki z Europy o stabilnych przychodach, które dają inwestorom szanse na stabilne zyski oraz pozwalają osiągnąć dużą dynamikę wzrostu dbając o zrównoważony rozwój. Skład indeksu co kwartał jest weryfikowany, tak aby firmy, które pracują na premię dla klienta, stale należały do liderów swoich branż - wyjaśnia Szymon Księżopolski z Biura Doradztwa Inwestycyjnego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Ubezpieczenie "30 Europejskich Liderów" umożliwia klientowi udział we wzroście indeksu STOXX Europe ESG Leaders Select 30 na poziomie 100 proc. przy jednoczesnej ochronie zainwestowanego kapitału na koniec okresu ubezpieczenia, który wynosi trzy lata. Oznacza to, że jeśli średnia z trzech rocznych obserwacji w stosunku do wartości początkowej wyniesie 11 proc., wówczas klient otrzyma 11 proc. zysku.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Klient może w każdej chwili wycofać zainwestowane pieniądze, a wtedy ubezpieczyciel wypłaci je potrącając 1 proc. od wartości wykupu (w tym przypadku nie przysługuje ochrona zainwestowanego kapitału). Jeśli natomiast klient nie zrezygnuje do końca trwania ubezpieczenia, to bank wypłaci mu środki wraz z ewentualnym zyskiem (wypłata następuje na wniosek klienta).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Subskrypcja nowego produktu otwarta jest w okresie od 10 września do 19 października. Minimalna kwota wpłaty wynosi 3 tys. zł, maksymalna 1,02 mln zł. Opłata początkowa wynosi 2 proc. co oznacza, że 98 proc. środków wpłaconych przez klienta jest inwestowanych.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przypomina, że inwestowanie wiąże się z ryzykiem rynkowym. Wartość jednostki uczestnictwa funduszu jest zmienna i zależna od czynników rynkowych. Warunki rynkowe mogą mieć negatywny efekt na płynność instrumentu. W szczególności może się okazać, że zbycie instrumentu dłużnego będzie niemożliwe w danym momencie lub/i niemożliwe w ogóle. Szczegółowy opis wszystkich ryzyk związanych z produktem znajduje się w dokumencie zawierającym kluczowe informacje (KID), Warunkach Finansowych - Regulaminie UFK, Broszurze MiFID oraz Karcie Produktu, które są dostępne na stronie </w:t>
      </w:r>
      <w:hyperlink r:id="rId7" w:history="1">
        <w:r>
          <w:rPr>
            <w:rFonts w:ascii="calibri" w:hAnsi="calibri" w:eastAsia="calibri" w:cs="calibri"/>
            <w:color w:val="0000FF"/>
            <w:sz w:val="24"/>
            <w:szCs w:val="24"/>
            <w:u w:val="single"/>
          </w:rPr>
          <w:t xml:space="preserve">www.credit-agricole.pl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www.ca-ubezpieczenia.pl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Zależy nam, aby klient, który nie zna się na inwestowaniu podjął świadomą decyzję i dobrze znał czynniki ryzyka występujące w ofercie, dlatego otwarcie go o tym informujemy - wyjaśnia Szymon Księżopolski.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redit-agricole.pl" TargetMode="External"/><Relationship Id="rId8" Type="http://schemas.openxmlformats.org/officeDocument/2006/relationships/hyperlink" Target="http://www.ca-ubezpiecz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2026-10-27T11:52:46+01:00</dcterms:created>
  <dcterms:modified xsi:type="dcterms:W3CDTF">2026-10-27T11:52:46+01:00</dcterms:modified>
</cp:coreProperties>
</file>

<file path=docProps/custom.xml><?xml version="1.0" encoding="utf-8"?>
<Properties xmlns="http://schemas.openxmlformats.org/officeDocument/2006/custom-properties" xmlns:vt="http://schemas.openxmlformats.org/officeDocument/2006/docPropsVTypes"/>
</file>