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liderów europejskiej gospodarki i zarabiaj</w:t>
      </w:r>
    </w:p>
    <w:p>
      <w:pPr>
        <w:spacing w:before="0" w:after="500" w:line="264" w:lineRule="auto"/>
      </w:pPr>
      <w:r>
        <w:rPr>
          <w:rFonts w:ascii="calibri" w:hAnsi="calibri" w:eastAsia="calibri" w:cs="calibri"/>
          <w:sz w:val="36"/>
          <w:szCs w:val="36"/>
          <w:b/>
        </w:rPr>
        <w:t xml:space="preserve">Bank Credit Agricole rozpoczyna subskrybcję nowego ubezpieczenie na życie i dożycie z opcją inwestycyjną. Oferta "30 Europejskich Liderów" gwarantuje pełną ochronę zainwestowanej składki i możliwość osiągnięcia wysokiej stopy zwrotu po trzech latach okresu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produkt opiera się na indeksie STOXX Europe ESG Leaders Select 30, w skład którego wchodzą europejskie spółki o zasięgu ogólnoświatowym, m.in.: Deutsche Telekom, BMW czy Zurich Insurance Group. Firmy te cechują się stabilnymi przychodami i głęboką troską o zrównoważony rozwój (środowisko, społeczna odpowiedzialność i ład korporacyjny).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"30 Europejskich Liderów" to inwestycja w czołowe spółki z Europy o stabilnych przychodach, które dają inwestorom szanse na stabilne zyski oraz pozwalają osiągnąć dużą dynamikę wzrostu dbając o zrównoważony rozwój. Skład indeksu co kwartał jest weryfikowany, tak aby firmy, które pracują na premię dla klienta, stale należały do liderów swoich branż - wyjaśnia Szymon Księżopolski z Biura Doradztwa Inwestycyjnego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"30 Europejskich Liderów" umożliwia klientowi udział we wzroście indeksu STOXX Europe ESG Leaders Select 30 na poziomie 100 proc. przy jednoczesnej ochronie zainwestowanego kapitału na koniec okresu ubezpieczenia, który wynosi trzy lata. Oznacza to, że jeśli średnia z trzech rocznych obserwacji w stosunku do wartości początkowej wyniesie 11 proc., wówczas klient otrzyma 11 proc. zysku.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w każdej chwili wycofać zainwestowane pieniądze, a wtedy ubezpieczyciel wypłaci je potrącając 1 proc. od wartości wykupu (w tym przypadku nie przysługuje ochrona zainwestowanego kapitału). Jeśli natomiast klient nie zrezygnuje do końca trwania ubezpieczenia, to bank wypłaci mu środki wraz z ewentualnym zyskiem (wypłata następuje na wniosek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nowego produktu otwarta jest w okresie od 10 września do 19 października. Minimalna kwota wpłaty wynosi 3 tys. zł, maksymalna 1,02 mln zł. Opłata początkowa wynosi 2 proc. co oznacza, że 98 proc. środków wpłaconych przez klienta jest inwestowanych.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Wartość jednostki uczestnictwa funduszu jest zmienna i zależna od czynników rynkowych. Warunki rynkowe mogą mieć negatywny efekt na płynność instrumentu. W szczególności może się okazać, że zbycie instrumentu dłużnego będzie niemożliwe w danym momencie lub/i niemożliwe w ogóle. Szczegółowy opis wszystkich ryzyk związanych z produktem znajduje się w dokumencie zawierającym kluczowe informacje (KID), Warunkach Finansowych - Regulaminie UFK, Broszurze MiFID oraz Karcie Produktu, które są dostępne na stronie </w:t>
      </w:r>
      <w:hyperlink r:id="rId7" w:history="1">
        <w:r>
          <w:rPr>
            <w:rFonts w:ascii="calibri" w:hAnsi="calibri" w:eastAsia="calibri" w:cs="calibri"/>
            <w:color w:val="0000FF"/>
            <w:sz w:val="24"/>
            <w:szCs w:val="24"/>
            <w:u w:val="single"/>
          </w:rPr>
          <w:t xml:space="preserve">www.credit-agricole.pl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www.ca-ubezpieczenia.pl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Zależy nam, aby klient, który nie zna się na inwestowaniu podjął świadomą decyzję i dobrze znał czynniki ryzyka występujące w ofercie, dlatego otwarcie go o tym informujemy - wyjaśnia Szymon Księżopolski.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redit-agricole.pl" TargetMode="External"/><Relationship Id="rId8"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2026-04-26T00:44:49+02:00</dcterms:created>
  <dcterms:modified xsi:type="dcterms:W3CDTF">2026-04-26T00:44:49+02:00</dcterms:modified>
</cp:coreProperties>
</file>

<file path=docProps/custom.xml><?xml version="1.0" encoding="utf-8"?>
<Properties xmlns="http://schemas.openxmlformats.org/officeDocument/2006/custom-properties" xmlns:vt="http://schemas.openxmlformats.org/officeDocument/2006/docPropsVTypes"/>
</file>