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rozszerza portfolio kredytów powiązanych z ESG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udostępnia klientom korporacyjnym nową formę finansowania. Ofertę banku wzbogacił właśnie kredyt powiązany z realizacją wskaźników ESG (ESG KPI - Linked Loan). Pełen wachlarz produktów finansowych potwierdza rolę Credit Agricole jako jednej z wiodących instytucji wspierających transformację energetyczną polskiej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forma finansowania jest dostępna dla klientów korporacyjnych, którzy ambitnie podchodzą do zrównoważonego rozwoju. O kredyt ESG KPI LL mogą ubiegać się firmy, które są na początku ścieżki transformacji. Po spełnieniu przez kredytobiorcę określonych w umowie celów dotyczących zrównoważonego rozwoju, bank obniży marżę kredytową. W umowie musi znaleźć się minimum jeden wskaźnik ESG, a firma jest zobowiązana przedstawić raz w roku dokumentację, która potwierdzi spełnienie warunków umownych.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Nowa forma kredytowania powiązanego z ESG ma na celu motywowanie firm do podjęcia realnych działań w zakresie transformacji energetycznej. Jako bank tworzymy produkty, które obrazują naszą filozofię biznesową, czyli połączenie efektywności ekonomicznej, rozwoju społecznego i racjonalnego wykorzystania zasobów naturalnych. Dzięki naszej ekspertyzie klienci korporacyjni mogą tworzyć lepszą przyszłość gospodarczą, a my ich w tym konsekwentnie wspieramy</w:t>
      </w:r>
      <w:r>
        <w:rPr>
          <w:rFonts w:ascii="calibri" w:hAnsi="calibri" w:eastAsia="calibri" w:cs="calibri"/>
          <w:sz w:val="24"/>
          <w:szCs w:val="24"/>
        </w:rPr>
        <w:t xml:space="preserve"> – mówi Maciej Zatorski, dyrektor Pionu Produktów Bankowości Korporacyjnej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Kredyty ESG KPI LL mogą zostać udzielone na okres łącznie nie krótszy niż trzy lata i nie dłuższy niż 10 lat z możliwością odnowienia co 12 miesięcy. Środki mogą być przeznaczone głównie na finansowanie lub refinansowanie kapitału obrotowego i mogą obejmować nowe lub już istniejące finansowanie po wprowadzeniu warunków powiązanych ze wskaźnikami ESG.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Kompletne portfolio kredytów ESG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ofercie Credit Agricole dostępne są kredyty powiązane ze zrównoważonym rozwojem w formule SLL, czyli Sustainability Linked Loan. Istotą tej formy finansowania jest zmiana marży kredytowej w zależności od realizacji określonych celów ESG. Gdy kredytobiorca wywiąże się ze swoich zobowiązań, marża zostanie obniżona, natomiast cele nie zostaną osiągnięte – wówczas koszt kredytu może zostać podniesiony. Dokumentacja potwierdzająca wyniki musi zostać zaudytowana przez partnera zewnętrznego lub też przedstawiona w formie sprawozdania zrównoważonego rozwoju. Do tej pory bank oferował finansowanie SLL w formule konsorcjalnej, obecnie udziela takiego finansowania również w ramach umowy dwustronnej.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Codziennie działamy na rzecz naszych klientów i gospodarki. Wierzymy, że poprzez połączenie codziennych działań biznesowych z celami ESG, nasi klienci korporacyjni budują przewagę konkurencyjną w swoich branżach i zapewniają wzrost rentowności. Jednocześnie w ten sposób zarządzają ryzykami, by zabezpieczyć swoją działalność przed niepewnością rynkową </w:t>
      </w:r>
      <w:r>
        <w:rPr>
          <w:rFonts w:ascii="calibri" w:hAnsi="calibri" w:eastAsia="calibri" w:cs="calibri"/>
          <w:sz w:val="24"/>
          <w:szCs w:val="24"/>
        </w:rPr>
        <w:t xml:space="preserve">– mówi Frederic Lustig, dyrektor Biura Green Banking w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ze strategią na lata 2026 – 2028 bank Credit Agricole koncentruje się na wspieraniu klientów korporacyjnych w transformacji energetycznej poprzez udostępnianie zrównoważonego finansowania oraz kredytów powiązanych ze zrównoważonym rozwojem. To oznacza, że dostępność i koszt instrumentów finansowych dla firm są uzależnione od realnego zaangażowania w obszarze ESG, które jest oceniane pod kątem wpływu na środowisko i otoczenie społeczne.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2026-05-19T09:35:09+02:00</dcterms:created>
  <dcterms:modified xsi:type="dcterms:W3CDTF">2026-05-19T09:35:09+02:00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