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oferta inwestycyjna od Credit Agricole</w:t>
      </w:r>
    </w:p>
    <w:p>
      <w:pPr>
        <w:spacing w:before="0" w:after="500" w:line="264" w:lineRule="auto"/>
      </w:pPr>
      <w:r>
        <w:rPr>
          <w:rFonts w:ascii="calibri" w:hAnsi="calibri" w:eastAsia="calibri" w:cs="calibri"/>
          <w:sz w:val="36"/>
          <w:szCs w:val="36"/>
          <w:b/>
        </w:rPr>
        <w:t xml:space="preserve">Credit Agricole rozpoczął subskrypcję nowego ubezpieczeniowego produktu inwestycyjnego. Global Trend II pozwala inwestować w indeks spółek, które łączy kryterium współdziałania zgodnie z zasadami ESG oraz tematyczne megatrendy związane z globalną transformacją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Global Trend II oferuje ochronę ubezpieczeniową na życie i dożycie wraz z możliwością otrzymania zysku z inwestycji (premia). Ubezpieczyciel inwestuje w aktywo (notę), która składa się z dwóch części. Pierwsza z nich to społeczne obligacje, które poprzez swoją konstrukcję wspierają społecznie odpowiedzialne inwestycje oraz mają za zadanie chronić zainwestowany przez klienta kapitał na koniec okresu ubezpieczenia. Druga część noty to iSTOXX Global Transformation Select 30 5% Decrement Index, którego zadaniem jest wypracowanie premii dla klienta.</w:t>
      </w:r>
    </w:p>
    <w:p>
      <w:pPr>
        <w:spacing w:before="0" w:after="300"/>
      </w:pPr>
      <w:r>
        <w:rPr>
          <w:rFonts w:ascii="calibri" w:hAnsi="calibri" w:eastAsia="calibri" w:cs="calibri"/>
          <w:sz w:val="24"/>
          <w:szCs w:val="24"/>
        </w:rPr>
        <w:t xml:space="preserve">- Produkt ma atrakcyjną formułę i prostą konstrukcję. Global Trend II daje klientom gwarancję ochrony kapitału w wysokości 110 proc. zainwestowanej składki. Oprócz tego, na koniec okresu ubezpieczenia klient będzie mógł otrzymać premię w wysokości 120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Premia, czyli zysk z ubezpieczenia z elementem inwestycyjnym Global Trend II, zależy od notowań indeksu giełdowego iSTOXX Global Transformation Select 30 5% Decrement Index. Na wartość indeksu pracują specjalnie dobrane spółki, które charakteryzują się niską zmiennością i wysoką stopą dywidendy. Indeks obejmuje 30 płynnych spółek światowych, które zostały wybrane z szerszego indeksu macierzystego – STOXX Developed and Emerging Markets Total Market Index. Budowa indeksu opiera się o spółki, które zostały wyselekcjonowane według kryterium ESG (E – środowisko, S – społeczna odpowiedzialność, G – ład korporacyjny) oraz są zaangażowane w sektory związane z globalną transformacją świata.</w:t>
      </w:r>
    </w:p>
    <w:p>
      <w:pPr>
        <w:spacing w:before="0" w:after="300"/>
      </w:pPr>
      <w:r>
        <w:rPr>
          <w:rFonts w:ascii="calibri" w:hAnsi="calibri" w:eastAsia="calibri" w:cs="calibri"/>
          <w:sz w:val="24"/>
          <w:szCs w:val="24"/>
        </w:rPr>
        <w:t xml:space="preserve">- W Credit Agricole przykładamy ogromną wagę do wspierania zrównoważonego rozwoju i odpowiedzialnego biznesu. Dlatego to nasz kolejny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Subskrypcja produktu Global Trend II trwa do 23 grudnia 2022 r. Minimalna kwota składki wynosi 3 tys. zł, maksymalna 1 mln zł. W ubezpieczenie z premią może zainwestować każda osoba pomiędzy 18 a 70 rokiem życia. Nie potrzeba do tego zakładać konta w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ryzyk związanych z produktem znajduje się w Technicznych Informacjach o Umowie Ubezpieczenia, KID (Dokumencie Zawierającym Kluczowe Informacje) oraz Karcie Produktu, które są dostępne na stronie www.credit-agricole.pl oraz www.ca-ubezpieczenia.pl.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2025-12-05T23:03:45+01:00</dcterms:created>
  <dcterms:modified xsi:type="dcterms:W3CDTF">2025-12-05T23:03:45+01:00</dcterms:modified>
</cp:coreProperties>
</file>

<file path=docProps/custom.xml><?xml version="1.0" encoding="utf-8"?>
<Properties xmlns="http://schemas.openxmlformats.org/officeDocument/2006/custom-properties" xmlns:vt="http://schemas.openxmlformats.org/officeDocument/2006/docPropsVTypes"/>
</file>