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współpracy – Grupa Credit Agricole i Lemken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Spółki Grupy Credit Agricole w Polsce stawiają na współpracę i rozwijają synergię. Dotychczasowa oferta leasingu Europejskiego Funduszu Leasingowego dla klientów Lemken powiększyła się o propozycje banku Credit Agricole. Od lutego mogą oni sfinansować zakup maszyn również kredytem inwestycyjnym i pomostowym.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Lemken to czołowy dostawca profesjonalnego sprzętu rolniczego na świecie. Przygotowuje on innowacyjne i wysokiej jakości rozwiązania do uprawy roli, wysiewu i ochrony roślin.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EFL współpracuje z firmą Lemken już od wielu lat , teraz od lutego we współpracę włączył się bank Credit Agricole. Klientom Lemken proponuje sfinansowanie zakupu maszyn kredytem inwestycyjnym oraz pomostowym na finansowanie VAT i dotacji zakupywanej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od wielu lat specjalizuje się w finansowaniu rolnictwa. Współpracuje z wieloma renomowanymi markami produkującymi sprzęt rolniczy, a także z producentami żywności. Nowa oferta pomoże klientom w rozwoju swoich gospodarstw bez angażowania dodatkowych środków i czasu. Mobilni doradcy Agro CABP dopełnią wszelkich formalności w gospodarstwie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EFL SA jest największą firmą leasingową w Polsce. Spółka działa na rynku od 25 lat i przez wszystkie lata jest liderem branży leasingowej w Polsce. Spółka oferuje szeroki pakiet produktów: leasing, pożyczkę, wynajem długoterminowy, ubezpieczenia i faktoring. Współpracuje z najbardziej liczącymi się producentami i dostawcami maszyn, urządzeń, pojazdów oraz innych środków trwałych.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