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zajął 3. miejsce w konkursie Najlepszy Bank organizowanym przez Gazetę Bankową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Gazeta Bankowa organizuje plebiscyt już od 26 lat. Wyróżnia w nim najlepsze małe, średnie i duże banki komercyjne oraz spółdzielcze. Pod uwagę bierze szereg wskaźników określających dynamikę, strukturę portfela, efektywności instytucji, a także jakościową ocenę członków jury.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zajął 3. miejsce w kategorii małych i średnich banków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Wyróżnienie to ma dla nas szczególne znaczenie. Jesteśmy w fazie dużych zmian: zaczynaliśmy od modelu Consumer Finance, a teraz – zachowując silną pozycję w tym obszarze – stajemy się bankiem uniwersalnym z bardzo szeroką ofertą finansową i ubezpieczeniową</w:t>
      </w:r>
      <w:r>
        <w:rPr>
          <w:rFonts w:ascii="calibri" w:hAnsi="calibri" w:eastAsia="calibri" w:cs="calibri"/>
          <w:sz w:val="24"/>
          <w:szCs w:val="24"/>
        </w:rPr>
        <w:t xml:space="preserve"> – mówi Piotr Kwiatkowski, 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Credit Agricole polega nie tylko na poszerzeniu oferty ale i zmianie organizacji pracy: automatyzacji procesów, wprowadzaniu robotyzacji, rozwoju zarządzania agile. Bank równocześnie inwestuje w doradców: szkoli, rozwija ich kompetencje. Motorem tych działań jest klient i jego pozytywne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Stawiamy na długoterminowe relacje z klientami i wierzymy, że na tym możemy budować naszą przewagę konkurencyjną. Jesteśmy bankiem uważnym, który słucha swoich klientów i oferuje im rozwiązania, jakich naprawdę potrzebują</w:t>
      </w:r>
      <w:r>
        <w:rPr>
          <w:rFonts w:ascii="calibri" w:hAnsi="calibri" w:eastAsia="calibri" w:cs="calibri"/>
          <w:sz w:val="24"/>
          <w:szCs w:val="24"/>
        </w:rPr>
        <w:t xml:space="preserve">- dodaje Piotr Kwiatkowski.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2026-10-27T12:34:35+01:00</dcterms:created>
  <dcterms:modified xsi:type="dcterms:W3CDTF">2026-10-27T12:34:35+01:00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