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zajął 3. miejsce w konkursie Najlepszy Bank organizowanym przez Gazetę Bankową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Gazeta Bankowa organizuje plebiscyt już od 26 lat. Wyróżnia w nim najlepsze małe, średnie i duże banki komercyjne oraz spółdzielcze. Pod uwagę bierze szereg wskaźników określających dynamikę, strukturę portfela, efektywności instytucji, a także jakościową ocenę członków jury.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zajął 3. miejsce w kategorii małych i średnich banków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Wyróżnienie to ma dla nas szczególne znaczenie. Jesteśmy w fazie dużych zmian: zaczynaliśmy od modelu Consumer Finance, a teraz – zachowując silną pozycję w tym obszarze – stajemy się bankiem uniwersalnym z bardzo szeroką ofertą finansową i ubezpieczeniową</w:t>
      </w:r>
      <w:r>
        <w:rPr>
          <w:rFonts w:ascii="calibri" w:hAnsi="calibri" w:eastAsia="calibri" w:cs="calibri"/>
          <w:sz w:val="24"/>
          <w:szCs w:val="24"/>
        </w:rPr>
        <w:t xml:space="preserve"> – mówi Piotr Kwiatkowski, 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Credit Agricole polega nie tylko na poszerzeniu oferty ale i zmianie organizacji pracy: automatyzacji procesów, wprowadzaniu robotyzacji, rozwoju zarządzania agile. Bank równocześnie inwestuje w doradców: szkoli, rozwija ich kompetencje. Motorem tych działań jest klient i jego pozytywne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Stawiamy na długoterminowe relacje z klientami i wierzymy, że na tym możemy budować naszą przewagę konkurencyjną. Jesteśmy bankiem uważnym, który słucha swoich klientów i oferuje im rozwiązania, jakich naprawdę potrzebują</w:t>
      </w:r>
      <w:r>
        <w:rPr>
          <w:rFonts w:ascii="calibri" w:hAnsi="calibri" w:eastAsia="calibri" w:cs="calibri"/>
          <w:sz w:val="24"/>
          <w:szCs w:val="24"/>
        </w:rPr>
        <w:t xml:space="preserve">- dodaje Piotr Kwiatkowski.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