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Zainwestuj z Credit Agricole w zieloną gospodarkę i zarabiaj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rozpoczyna subskrypcję nowego ubezpieczenia na życie i dożycie z opcją inwestycyjną. Oferta strukturyzowana pod nazwą „EkoZysk” jest pierwszym na polskim rynku tego typu produktem, który pozwala inwestować w firmy z sektora zielonej gospodarki. A także pierwszym, który oferuje klientowi zysk niezależnie od koniunktury na giełdzie.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EkoZysk to indywidualne ubezpieczenie na życie i dożycie z ubezpieczeniowym funduszem kapitałowym. Z jednej strony daje ochronę ubezpieczeniową na życie, a z drugiej możliwość zysku na wzroście indeksu który gromadzi spółki rozwijające technologie przyjazne środowisku </w:t>
      </w:r>
      <w:r>
        <w:rPr>
          <w:rFonts w:ascii="calibri" w:hAnsi="calibri" w:eastAsia="calibri" w:cs="calibri"/>
          <w:sz w:val="24"/>
          <w:szCs w:val="24"/>
        </w:rPr>
        <w:t xml:space="preserve">- wyjaśnia Tomasz Wyłuda, dyrektor Biura Doradztwa Inwestycyjnego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Wysokość zysku z inwestycji zależy od notowań indeksu MSCI Europe Select Green 50 5% Decrement Index (MXEUG50D). Jeśli indeks wzrośnie, klient zarobi 100 proc. średniego wzrostu z czterech kolejnych lat. W przypadku gdyby indeks stracił na wartości, klient może oczekiwać stopy zwrotu w wysokości 3 proc. co jest wynikiem wzrostu wartości części dłużnej produktu strukturyzowanego.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Jeśli indeks nigdy nie wzrośnie, to klient i tak może dostać więcej pieniędzy, niż wkładał kupując ten produkt. A jeśli koniunktura na giełdzie będzie dobra i indeks będzie rósł, to zysk będzie znacznie większy. Musimy jednak pamiętać, że każda inwestycja, związana jest z ryzykiem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dlatego warto dywersyfikować swój portfel inwestycyjny</w:t>
      </w:r>
      <w:r>
        <w:rPr>
          <w:rFonts w:ascii="calibri" w:hAnsi="calibri" w:eastAsia="calibri" w:cs="calibri"/>
          <w:sz w:val="24"/>
          <w:szCs w:val="24"/>
        </w:rPr>
        <w:t xml:space="preserve"> – zachęca Tomasz Wyłuda.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strukturyzowany EkoZysk jest pierwszym tego typu produktem na polskim rynku, który umożliwia wspieranie rozwoju tzw. „zielonej gospodarki”. Środki klientów będą inwestowane w przedsięwzięcia firm działających w branżach przyjaznych środowisku i przykładające szczególną wagę do zrównoważonego rozwoju. Są to m.in. spółki wytwarzające energię ze źródeł odnawialnych, firmy z branży recyklingu, czy przedsiębiorstwa zajmujące się ekologicznym transportem publicznym czy budownictwem.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Credit Agricole przykładamy ogromną wagę do ochrony środowiska i dlatego wspieramy wszelkie inicjatywy, które wspomagają rozwój czystych i nowoczesnych technologii. Stąd pomysł na produkt finansowy, który dzięki swojej atrakcyjnej ofercie, może być równocześnie skutecznym narzędziem do zmieniania świata na lepszy</w:t>
      </w:r>
      <w:r>
        <w:rPr>
          <w:rFonts w:ascii="calibri" w:hAnsi="calibri" w:eastAsia="calibri" w:cs="calibri"/>
          <w:sz w:val="24"/>
          <w:szCs w:val="24"/>
        </w:rPr>
        <w:t xml:space="preserve"> – przekonuje Tomasz Wyłuda.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Subskrypcja nowego produktu otwarta jest przez siedem tygodni w okresie od 12 listopada do 28 grudnia. Minimalna kwota wpłaty wynosi 3 tys. zł, maksymalna 1,02 mln zł. Opłata początkowa wynosi 2 proc. co oznacza, że 98 proc. środków wpłaconych przez klienta jest inwestowanych. Całkowity czas inwestycji to 4 lata i 26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przypomina, że inwestowanie wiąże się z ryzykiem rynkowym. Szczegółowy opis wszystkich ryzyk związanych z produktem znajduje się w dokumencie zawierającym kluczowe informacje (KID), Warunkach Finansowych - Regulaminie UFK, Broszurze MiFID oraz Karcie Produktu, które są dostępne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www.credit-agricole.pl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www.ca-ubezpieczenia.pl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redit-agricole.pl" TargetMode="External"/><Relationship Id="rId8" Type="http://schemas.openxmlformats.org/officeDocument/2006/relationships/hyperlink" Target="http://www.ca-ubezpieczen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2026-03-16T02:43:06+01:00</dcterms:created>
  <dcterms:modified xsi:type="dcterms:W3CDTF">2026-03-16T02:43:06+01:00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