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kolejnej trasy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kontynuuje strategiczną współpracę z Dawidem Podsiadło i wspiera jego kolejne działania artystyczne. Bank będzie partnerem nowej trasy koncertowej „Wielkomiejski Tour”, którą artysta planuje na wiosnę w ponad 30 mniejszych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Dawida Podsiadło i Credit Agricole. Bank był partnerem jesiennej „Małomiasteczkowej trasy”, która okazała się wielkim sukcesem artystycznym i frekwencyjnym. 13 koncertów zorganizowanych w największych polskich miastach przyciągnęło łącznie ponad 100 tys. osób. Credit Agricole współpracuje z artystą od wiosny 2018 r. Dawid Podsiadło został nową twarzą marki i wziął udział w kampanii odświeżającej jej wizerunek, która została doskonale przyjęta przez klientów i była wielokrotnie nagradzana przez środowisko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Dawid Podsiadło jest bez wątpienia najchętniej słuchanym artystą w Polsce, a słuchanie jest w naszej nowej komunikacji szczególne ważne. Podkreślamy w ten sposób nasze wyjątkowe podejście do relacji z klientami: z uwagą ich słuchamy i doradzamy im takie rozwiązania, jakich naprawdę potrzebują. Z rozmów z klientami wiemy, że oni szanują takie podejście i właśnie za to nas cenią -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współpraca ma charakter strategiczny, co oznacza, że współpracujemy z Dawidem znacznie szerzej niż tylko w aspekcie reklamowym. „Małomiasteczkowa trasa” okazała się niezwykłym wydarzeniem, które zrobiło na nas wszystkich wielkie wrażenie. Dlatego z ogromną radością dołączamy do kolejnej trasy Dawida – dodaje Barbara Pijanowska Kuras, dyrektor zarządzająca obszarem zintegrowanej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„Wielkomiejski Tour” planowanych jest ponad 50 koncertów w 31 miejscowościach, m.in. w Chorzowie, Bolesławcu, Kołobrzegu, Jarocinie czy Starachowicach. Pierwszy koncert odbędzie się 3 lutego w teatrze miejskim w Cieszynie. Bilety na „Wielkomiejski Tour” trafią do sprzedaży w piątek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 ukazał się jego debiutancki album studyjny zatytułowany „Comfort and Happiness”,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19 października 2018 r., po blisko dwuletniej przerwie w działalności artystycznej, Dawid Podsiadło wydał trzecią płytę zatytułowaną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Małomiasteczkowy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Album sprzedał się w łącznej liczbie ponad 90 tys. egzemplarzy i uzyskał status potrójnie platynowej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 Credit Agricole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Ma%C5%82omiasteczkowy_(albu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