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KUKE zagwarantuje kredyty Credit Agricole na łagodzenie zmian klimatu</w:t>
      </w:r>
    </w:p>
    <w:p>
      <w:pPr>
        <w:spacing w:before="0" w:after="500" w:line="264" w:lineRule="auto"/>
      </w:pPr>
      <w:r>
        <w:rPr>
          <w:rFonts w:ascii="calibri" w:hAnsi="calibri" w:eastAsia="calibri" w:cs="calibri"/>
          <w:sz w:val="36"/>
          <w:szCs w:val="36"/>
          <w:b/>
        </w:rPr>
        <w:t xml:space="preserve">Bank Credit Agricole i Korporacja Ubezpieczeń Kredytów Eksportowych (KUKE) podpisały umowę na podstawie której, kredyty inwestycyjne przeznaczone na cele związane z transformacją energetyczną mogą zostać zabezpieczone gwarancjami wystawianymi przez KUKE w ramach programu finansowania zielonej transformacji. Dzięki współpracy obu podmiotów, działające w Polsce firmy będą miały łatwiejszy dostęp do środków, które posłużą ograniczeniu zmian klimatu.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Banki pełnią kluczową rolę w transformacji energetycznej polskiej gospodarki. Wiemy, że dla przedsiębiorstw to niełatwy proces, który wymaga wsparcia. Dlatego aktywnie przystąpiliśmy do programu wspierania finansowania zielonej transformacji KUKE. Wierzymy, że zabezpieczenie transakcji gwarancjami KUKE pozwoli zwiększyć możliwości inwestycyjne przedsiębiorców i pomoże im realizować cele związane z łagodzeniem zmian klimatu - przekonuje Maciej Zatorski, dyrektor Pionu Produktów Bankowości Korporacyjnej w Credit Agricole.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Transformacja energetyczna w Polsce jest dla naszych klientów tematem wiążącym się z wieloma wyzwaniami, szczególnie przy ocenie istotnego wkładu w łagodzenie zmian klimatu. Najtrudniej jest zacząć, więc już na początku transakcji ramię w ramie z KUKE wspieramy naszych klientów wspólnie strukturyzując transakcję aby finansowanie było dopasowane – dodaje Frederic Lustig, dyrektor Pionu Klientów Korporacyjnych w Credit Agricole.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Gwarancjami KUKE może zostać objęta spłata finansowania inwestycji m.in. w odnawialne źródła i magazyny energii, a także przedsięwzięcia zmniejszające ślad węglowy i poprawiające efektywność energetyczną. Gwarancje mogą zabezpieczyć nawet 80 proc. kwoty średnio- i długoterminowego kredytu o minimalnej wartości 10 mln zł.</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 program wspierania finansowania zielonej transformacji KUKE składają się dwa instrumenty:</w:t>
      </w:r>
    </w:p>
    <w:p>
      <w:pPr>
        <w:spacing w:before="200" w:after="0"/>
      </w:pPr>
      <w:r>
        <w:rPr>
          <w:rFonts w:ascii="calibri" w:hAnsi="calibri" w:eastAsia="calibri" w:cs="calibri"/>
          <w:sz w:val="24"/>
          <w:szCs w:val="24"/>
        </w:rPr>
        <w:t xml:space="preserve">1. </w:t>
      </w:r>
      <w:r>
        <w:rPr>
          <w:rFonts w:ascii="calibri" w:hAnsi="calibri" w:eastAsia="calibri" w:cs="calibri"/>
          <w:sz w:val="24"/>
          <w:szCs w:val="24"/>
        </w:rPr>
        <w:t xml:space="preserve">gwarancje spłaty kredytów udzielonych inwestycje wnoszące istotny wkład w łagodzenie zmian klimatu;</w:t>
      </w:r>
    </w:p>
    <w:p>
      <w:pPr>
        <w:spacing w:before="0" w:after="0"/>
      </w:pPr>
      <w:r>
        <w:rPr>
          <w:rFonts w:ascii="calibri" w:hAnsi="calibri" w:eastAsia="calibri" w:cs="calibri"/>
          <w:sz w:val="24"/>
          <w:szCs w:val="24"/>
        </w:rPr>
        <w:t xml:space="preserve">2. </w:t>
      </w:r>
      <w:r>
        <w:rPr>
          <w:rFonts w:ascii="calibri" w:hAnsi="calibri" w:eastAsia="calibri" w:cs="calibri"/>
          <w:sz w:val="24"/>
          <w:szCs w:val="24"/>
        </w:rPr>
        <w:t xml:space="preserve">gwarancje płynnościowe, które zabezpieczają krótkoterminowe finansowanie obrotowe (np. z banku czy firmy faktoringowej), bądź płatności na rzecz dostawców przez firmy, które działają w branży zielonych technologii, podejmują działania w kierunku podnoszenia swojej efektywności energetycznej czy prowadzą inne ekologiczne przedsięwzięcia.</w:t>
      </w:r>
    </w:p>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KUKE wspiera polskie banki, by jeszcze chętniej angażowały się w finansowanie transformacji energetycznej swoich klientów. Przyspieszenie modernizacji polskiej gospodarki w kierunku zeroemisyjności jest niezbędne dla utrzymania konkurencyjności naszych firm na globalnym rynku. Przejmując ryzyko od banków, umożliwiamy im nawet pięciokrotne zwiększenie skali kredytowania – mówi Piotr Maciaszek, dyrektor Departamentu Ubezpieczeń i Współpracy Międzynarodowej KUKE.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Credit Agricole i KUKE współpracują ze sobą od marca 2024 r. Obie instytucje podpisały wtedy umowę, która obejmuje współpracę w zakresie płatniczych gwarancji ubezpieczeniowych kredytów dla eksporterów.</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2026-10-13T19:30:38+02:00</dcterms:created>
  <dcterms:modified xsi:type="dcterms:W3CDTF">2026-10-13T19:30:38+02:00</dcterms:modified>
</cp:coreProperties>
</file>

<file path=docProps/custom.xml><?xml version="1.0" encoding="utf-8"?>
<Properties xmlns="http://schemas.openxmlformats.org/officeDocument/2006/custom-properties" xmlns:vt="http://schemas.openxmlformats.org/officeDocument/2006/docPropsVTypes"/>
</file>