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otwiera placówkę bezgotówkową w Lęborku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otwiera swoją placówkę przy ul. Staromiejskiej 29 w Lęborku. Placówka dostosowana jest do obsługi bezgotówkowej, dzięki czemu doradcy będą mieli więcej czasu na rozmowę z klientem i przygotowanie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Bezgotówkowa placówka banku mieści się przy ul. Staromiejskiej 29 w Lęborku. Klienci mogą w niej samodzielnie wpłacić i wypłacić gotówkę w strefie samoobsługowej – we wpłatomatach i bankomatach. Z kolei pracownicy oddziału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nowoczesnym bankiem skupionym na ludziach i zawsze staramy się wychodzić naprzeciw ich potrzebom. Jeśli więc widzimy, że ktoś nie czuje się komfortowo korzystając z e-banku lub z aplikacji mobilnej, to chętnie pomagamy i krok po kroku wyjaśniamy jak działają te narzędzia. Klienci naprawdę to doceniają</w:t>
      </w:r>
      <w:r>
        <w:rPr>
          <w:rFonts w:ascii="calibri" w:hAnsi="calibri" w:eastAsia="calibri" w:cs="calibri"/>
          <w:sz w:val="24"/>
          <w:szCs w:val="24"/>
        </w:rPr>
        <w:t xml:space="preserve"> – wyjaśnia Tomasz Bobrucki, dyrektor oddziału Credit Agricole w Lęborku.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dużą popularnością wśród klientów banków. Z danych branżowego dziennika „Puls Biznesu” wynika, że na koniec marca 2022 r. z bankowości elektronicznej aktywnie korzystało aż 23,3 mln użytkowników.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bezgotówkowym oddziale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Placówka bezgotówkowa w Lęborku jest dostosowana do potrzeb klientów. Kluczowym elementem wystroju są wygodne fotele przy stanowiskach obsługi i zamykane, szklane boksy do dłuższych rozmów, które zapewniają klientom prywatność. Jest też przestronna poczekalnia oraz ekspres do kawy dla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aktualnie klienci mogą skorzystać z wyjątkowej oferty lokaty mobilnej na dobry początek. Bank przygotował 270-dniową lokatę z oprocentowaniem aż 8%. Maksymalna lokata to 75 tys. zł. Można ją założyć w aplikacji CA24 Mobile do 14 dni po otwarciu konta osobistego. Dla nowych i obecnych klientów bank proponuje również specjalne oprocentowanie dla 90-dniowej lokaty, którą można założyć w Pakiecie Zyskowny Duet. W zależności od podziału pieniędzy przekazanych na ten produkt oprocentowanie lokaty wyniesie: 8% (przy podziale 50% lokata terminowa i 50% fundusz inwestycyjny) lub 6,5% (przy podziale 70% lokata terminowa i 30% fundusz inwestycyjny).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2026-08-04T22:25:47+02:00</dcterms:created>
  <dcterms:modified xsi:type="dcterms:W3CDTF">2026-08-04T22:25:47+02:00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