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Zagłosuj na Raport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Zagłosuj na publikację banku Credit Agricole w konkursie „Raporty Zrównoważonego Rozwoju”. Laureatów jednej z kategorii plebiscytu wybierają internauci – zachęcamy do głosowania!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„Raporty Zrównoważonego Rozwoju” (wcześniejsza nazwa: „Konkurs Raporty Społeczne”) bierze udział 55 raportów, należących do firm (48 raportów), organizacji pozarządowych (5 raportów), uczelni i administracji (2 raporty). Laureatów większości kategorii konkursowych wybiera jury złożone z reprezentantów różnych sektorów. Zwycięzców jednej z kategorii wybierają internauci. Wystarczy kilka kliknięć, aby zagłosować na raport Credit Agricole. Można to zrobić do 20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Zagłosuj już dziś: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http://raportyzr.pl/zaglosuj-na-raport/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zagłosować w konkursie?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konkursu należy oddać głos na trzy wybrane publikacje – jedną z nich powinien być raport Credit Agricole. W formularzu należy podać adres e-mail oraz określić grupę interesariuszy, do której należy głosujący (np. pracownicy, klienci, dostawcy). Na koniec wystarczy potwierdzić swój udział w głosowaniu, klikając w link przesłany na podany adres e-mail. Dopiero wtedy głos zostanie zapisany w systemie.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„Raporty Zrównoważonego Rozwoju” organizuje Forum Odpowiedzialnego Biznesu i firma Deloitte. W konkursie przyznawane są nagrody za najlepiej sporządzone publikacje CSR. To inicjatywa mająca na celu upowszechnianie idei odpowiedzialnego biznesu, zrównoważonego rozwoju, ochrony środowiska i zaangażowania społecznego, skierowana do firm i organizacji publikujących raporty na temat swojej aktywności w tych obszarach. </w:t>
      </w:r>
      <w:r>
        <w:rPr>
          <w:rFonts w:ascii="calibri" w:hAnsi="calibri" w:eastAsia="calibri" w:cs="calibri"/>
          <w:sz w:val="24"/>
          <w:szCs w:val="24"/>
        </w:rPr>
        <w:t xml:space="preserve">Pierwsza edycja konkursu miała miejsce w 2007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raport "Na rzecz klientów i społeczeństwa" banku Credit Agricole: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http://canews.creditagricole/wp-content/uploads/2021/06/Raport-CSR_2020.pdf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aportyzr.pl/zaglosuj-na-raport/" TargetMode="External"/><Relationship Id="rId8" Type="http://schemas.openxmlformats.org/officeDocument/2006/relationships/hyperlink" Target="http://canews.creditagricole/wp-content/uploads/2021/06/Raport-CSR_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2026-04-04T13:11:37+02:00</dcterms:created>
  <dcterms:modified xsi:type="dcterms:W3CDTF">2026-04-04T13:11:37+02:00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