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Zagłosuj na Raport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Zagłosuj na publikację banku Credit Agricole w konkursie „Raporty Zrównoważonego Rozwoju”. Laureatów jednej z kategorii plebiscytu wybierają internauci – zachęcamy do głosowania!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konkursu „Raporty Zrównoważonego Rozwoju” (wcześniejsza nazwa: „Konkurs Raporty Społeczne”) bierze udział 55 raportów, należących do firm (48 raportów), organizacji pozarządowych (5 raportów), uczelni i administracji (2 raporty). Laureatów większości kategorii konkursowych wybiera jury złożone z reprezentantów różnych sektorów. Zwycięzców jednej z kategorii wybierają internauci. Wystarczy kilka kliknięć, aby zagłosować na raport Credit Agricole. Można to zrobić do 20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Zagłosuj już dziś: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http://raportyzr.pl/zaglosuj-na-raport/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zagłosować w konkursie?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konkursu należy oddać głos na trzy wybrane publikacje – jedną z nich powinien być raport Credit Agricole. W formularzu należy podać adres e-mail oraz określić grupę interesariuszy, do której należy głosujący (np. pracownicy, klienci, dostawcy). Na koniec wystarczy potwierdzić swój udział w głosowaniu, klikając w link przesłany na podany adres e-mail. Dopiero wtedy głos zostanie zapisany w systemie.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„Raporty Zrównoważonego Rozwoju” organizuje Forum Odpowiedzialnego Biznesu i firma Deloitte. W konkursie przyznawane są nagrody za najlepiej sporządzone publikacje CSR. To inicjatywa mająca na celu upowszechnianie idei odpowiedzialnego biznesu, zrównoważonego rozwoju, ochrony środowiska i zaangażowania społecznego, skierowana do firm i organizacji publikujących raporty na temat swojej aktywności w tych obszarach. </w:t>
      </w:r>
      <w:r>
        <w:rPr>
          <w:rFonts w:ascii="calibri" w:hAnsi="calibri" w:eastAsia="calibri" w:cs="calibri"/>
          <w:sz w:val="24"/>
          <w:szCs w:val="24"/>
        </w:rPr>
        <w:t xml:space="preserve">Pierwsza edycja konkursu miała miejsce w 2007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raport "Na rzecz klientów i społeczeństwa" banku Credit Agricole: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http://canews.creditagricole/wp-content/uploads/2021/06/Raport-CSR_2020.pdf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aportyzr.pl/zaglosuj-na-raport/" TargetMode="External"/><Relationship Id="rId8" Type="http://schemas.openxmlformats.org/officeDocument/2006/relationships/hyperlink" Target="http://canews.creditagricole/wp-content/uploads/2021/06/Raport-CSR_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2026-11-06T00:26:43+01:00</dcterms:created>
  <dcterms:modified xsi:type="dcterms:W3CDTF">2026-11-06T00:26:43+01:00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