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 - podkreśla Małgorzata Milczarek-Bukowska, wiceprezeska zarządu Credit Agricole.</w:t>
      </w:r>
    </w:p>
    <w:p>
      <w:pPr>
        <w:spacing w:before="0" w:after="300"/>
      </w:pPr>
      <w:r>
        <w:rPr>
          <w:rFonts w:ascii="calibri" w:hAnsi="calibri" w:eastAsia="calibri" w:cs="calibri"/>
          <w:sz w:val="24"/>
          <w:szCs w:val="24"/>
        </w:rPr>
        <w:t xml:space="preserve">Z kolei Kasia Jarymek, prezeska Dobrej Fundacji, podkreśla wagę przystąpienia banku do Koalicji: „Obecność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Więcej o Koalicji Firm Razem Przeciwko Mobbingowi można przeczytać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https://www.dobrafundacja.org.pl/koalicja-firm</w:t>
        </w:r>
      </w:hyperlink>
    </w:p>
    <w:p>
      <w:pPr>
        <w:spacing w:before="0" w:after="300"/>
      </w:pPr>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2025-12-05T22:22:29+01:00</dcterms:created>
  <dcterms:modified xsi:type="dcterms:W3CDTF">2025-12-05T22:22:29+01:00</dcterms:modified>
</cp:coreProperties>
</file>

<file path=docProps/custom.xml><?xml version="1.0" encoding="utf-8"?>
<Properties xmlns="http://schemas.openxmlformats.org/officeDocument/2006/custom-properties" xmlns:vt="http://schemas.openxmlformats.org/officeDocument/2006/docPropsVTypes"/>
</file>