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 w CA24 eBank</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w:t>
      </w:r>
      <w:r>
        <w:rPr>
          <w:rFonts w:ascii="calibri" w:hAnsi="calibri" w:eastAsia="calibri" w:cs="calibri"/>
          <w:sz w:val="24"/>
          <w:szCs w:val="24"/>
        </w:rPr>
        <w:t xml:space="preserve"> – zapewnia Justyna Lewandowska, manager ds. Jakości i Efektywności Procesów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2026-01-25T11:17:45+01:00</dcterms:created>
  <dcterms:modified xsi:type="dcterms:W3CDTF">2026-01-25T11:17:45+01:00</dcterms:modified>
</cp:coreProperties>
</file>

<file path=docProps/custom.xml><?xml version="1.0" encoding="utf-8"?>
<Properties xmlns="http://schemas.openxmlformats.org/officeDocument/2006/custom-properties" xmlns:vt="http://schemas.openxmlformats.org/officeDocument/2006/docPropsVTypes"/>
</file>